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F" w:rsidRPr="00984006" w:rsidRDefault="00F8778E" w:rsidP="009C238F">
      <w:pPr>
        <w:jc w:val="center"/>
        <w:rPr>
          <w:rFonts w:eastAsia="Times New Roman" w:cs="Times New Roman"/>
          <w:b/>
          <w:sz w:val="28"/>
          <w:szCs w:val="28"/>
          <w:lang w:eastAsia="lv-LV"/>
        </w:rPr>
      </w:pPr>
      <w:bookmarkStart w:id="0" w:name="_GoBack"/>
      <w:bookmarkEnd w:id="0"/>
      <w:r>
        <w:rPr>
          <w:rFonts w:eastAsia="Times New Roman" w:cs="Times New Roman"/>
          <w:b/>
          <w:sz w:val="28"/>
          <w:szCs w:val="28"/>
          <w:lang w:eastAsia="lv-LV"/>
        </w:rPr>
        <w:t xml:space="preserve">  </w:t>
      </w:r>
      <w:r w:rsidR="009C238F" w:rsidRPr="00984006">
        <w:rPr>
          <w:rFonts w:eastAsia="Times New Roman" w:cs="Times New Roman"/>
          <w:b/>
          <w:sz w:val="28"/>
          <w:szCs w:val="28"/>
          <w:lang w:eastAsia="lv-LV"/>
        </w:rPr>
        <w:t>Izziņa par atzinumos sniegtajiem iebildumiem</w:t>
      </w:r>
    </w:p>
    <w:p w:rsidR="00417FEF" w:rsidRPr="00984006" w:rsidRDefault="00E72CD0" w:rsidP="009C238F">
      <w:pPr>
        <w:jc w:val="center"/>
        <w:rPr>
          <w:rFonts w:eastAsia="Times New Roman" w:cs="Times New Roman"/>
          <w:b/>
          <w:bCs/>
          <w:sz w:val="28"/>
          <w:szCs w:val="24"/>
          <w:lang w:eastAsia="lv-LV"/>
        </w:rPr>
      </w:pPr>
      <w:r w:rsidRPr="00984006">
        <w:rPr>
          <w:rFonts w:eastAsia="Times New Roman" w:cs="Times New Roman"/>
          <w:b/>
          <w:bCs/>
          <w:sz w:val="28"/>
          <w:szCs w:val="24"/>
          <w:lang w:eastAsia="lv-LV"/>
        </w:rPr>
        <w:t xml:space="preserve">noteikumu projektam </w:t>
      </w:r>
      <w:r w:rsidR="001D13B5">
        <w:rPr>
          <w:rFonts w:eastAsia="Times New Roman" w:cs="Times New Roman"/>
          <w:b/>
          <w:bCs/>
          <w:sz w:val="28"/>
          <w:szCs w:val="24"/>
          <w:lang w:eastAsia="lv-LV"/>
        </w:rPr>
        <w:t>“</w:t>
      </w:r>
      <w:r w:rsidR="001D13B5" w:rsidRPr="001D13B5">
        <w:rPr>
          <w:rFonts w:eastAsia="Times New Roman" w:cs="Times New Roman"/>
          <w:b/>
          <w:bCs/>
          <w:sz w:val="28"/>
          <w:szCs w:val="24"/>
          <w:lang w:eastAsia="lv-LV"/>
        </w:rPr>
        <w:t>Grozījumi Ministru kabineta 2017. gada 21. marta noteikumos Nr. 167 “Kārtība, kādā veic datu apmaiņu attiecībā uz elektroniski nosūtāmiem rīkojumiem un paziņojumiem par to izpildi”</w:t>
      </w:r>
      <w:r w:rsidR="001D13B5">
        <w:rPr>
          <w:rFonts w:eastAsia="Times New Roman" w:cs="Times New Roman"/>
          <w:b/>
          <w:bCs/>
          <w:sz w:val="28"/>
          <w:szCs w:val="24"/>
          <w:lang w:eastAsia="lv-LV"/>
        </w:rPr>
        <w:t>”</w:t>
      </w:r>
      <w:r w:rsidR="001D13B5" w:rsidRPr="001D13B5">
        <w:rPr>
          <w:rFonts w:eastAsia="Times New Roman" w:cs="Times New Roman"/>
          <w:b/>
          <w:bCs/>
          <w:sz w:val="28"/>
          <w:szCs w:val="24"/>
          <w:lang w:eastAsia="lv-LV"/>
        </w:rPr>
        <w:t xml:space="preserve"> </w:t>
      </w:r>
      <w:r w:rsidRPr="00984006">
        <w:rPr>
          <w:rFonts w:eastAsia="Times New Roman" w:cs="Times New Roman"/>
          <w:b/>
          <w:bCs/>
          <w:sz w:val="28"/>
          <w:szCs w:val="24"/>
          <w:lang w:eastAsia="lv-LV"/>
        </w:rPr>
        <w:t>(VSS-</w:t>
      </w:r>
      <w:r w:rsidR="001D13B5">
        <w:rPr>
          <w:rFonts w:eastAsia="Times New Roman" w:cs="Times New Roman"/>
          <w:b/>
          <w:bCs/>
          <w:sz w:val="28"/>
          <w:szCs w:val="24"/>
          <w:lang w:eastAsia="lv-LV"/>
        </w:rPr>
        <w:t>7</w:t>
      </w:r>
      <w:r w:rsidRPr="00984006">
        <w:rPr>
          <w:rFonts w:eastAsia="Times New Roman" w:cs="Times New Roman"/>
          <w:b/>
          <w:bCs/>
          <w:sz w:val="28"/>
          <w:szCs w:val="24"/>
          <w:lang w:eastAsia="lv-LV"/>
        </w:rPr>
        <w:t>4</w:t>
      </w:r>
      <w:r w:rsidR="001D13B5">
        <w:rPr>
          <w:rFonts w:eastAsia="Times New Roman" w:cs="Times New Roman"/>
          <w:b/>
          <w:bCs/>
          <w:sz w:val="28"/>
          <w:szCs w:val="24"/>
          <w:lang w:eastAsia="lv-LV"/>
        </w:rPr>
        <w:t>7</w:t>
      </w:r>
      <w:r w:rsidRPr="00984006">
        <w:rPr>
          <w:rFonts w:eastAsia="Times New Roman" w:cs="Times New Roman"/>
          <w:b/>
          <w:bCs/>
          <w:sz w:val="28"/>
          <w:szCs w:val="24"/>
          <w:lang w:eastAsia="lv-LV"/>
        </w:rPr>
        <w:t>)</w:t>
      </w:r>
    </w:p>
    <w:p w:rsidR="00E72CD0" w:rsidRPr="00984006" w:rsidRDefault="00E72CD0" w:rsidP="009C238F">
      <w:pPr>
        <w:jc w:val="center"/>
        <w:rPr>
          <w:rFonts w:eastAsia="Times New Roman" w:cs="Times New Roman"/>
          <w:b/>
          <w:sz w:val="28"/>
          <w:szCs w:val="28"/>
          <w:lang w:eastAsia="lv-LV"/>
        </w:rPr>
      </w:pPr>
    </w:p>
    <w:p w:rsidR="00417FEF" w:rsidRPr="00984006" w:rsidRDefault="00417FEF" w:rsidP="00417FEF">
      <w:pPr>
        <w:jc w:val="center"/>
        <w:rPr>
          <w:rFonts w:eastAsia="Times New Roman" w:cs="Times New Roman"/>
          <w:b/>
          <w:szCs w:val="24"/>
          <w:lang w:eastAsia="lv-LV"/>
        </w:rPr>
      </w:pPr>
      <w:r w:rsidRPr="00984006">
        <w:rPr>
          <w:rFonts w:eastAsia="Times New Roman" w:cs="Times New Roman"/>
          <w:b/>
          <w:szCs w:val="24"/>
          <w:lang w:eastAsia="lv-LV"/>
        </w:rPr>
        <w:t>I. Jautājumi, par kuriem saskaņošanā vienošanās nav panākta</w:t>
      </w:r>
    </w:p>
    <w:p w:rsidR="00417FEF" w:rsidRPr="00984006" w:rsidRDefault="00417FEF" w:rsidP="009C238F">
      <w:pPr>
        <w:jc w:val="center"/>
        <w:rPr>
          <w:rFonts w:eastAsia="Times New Roman" w:cs="Times New Roman"/>
          <w:sz w:val="28"/>
          <w:szCs w:val="28"/>
          <w:lang w:eastAsia="lv-LV"/>
        </w:rPr>
      </w:pPr>
    </w:p>
    <w:tbl>
      <w:tblPr>
        <w:tblStyle w:val="TableGrid"/>
        <w:tblpPr w:leftFromText="180" w:rightFromText="180" w:vertAnchor="text" w:horzAnchor="margin" w:tblpY="31"/>
        <w:tblW w:w="15446" w:type="dxa"/>
        <w:tblLayout w:type="fixed"/>
        <w:tblLook w:val="04A0" w:firstRow="1" w:lastRow="0" w:firstColumn="1" w:lastColumn="0" w:noHBand="0" w:noVBand="1"/>
      </w:tblPr>
      <w:tblGrid>
        <w:gridCol w:w="704"/>
        <w:gridCol w:w="2268"/>
        <w:gridCol w:w="3544"/>
        <w:gridCol w:w="3969"/>
        <w:gridCol w:w="3118"/>
        <w:gridCol w:w="1843"/>
      </w:tblGrid>
      <w:tr w:rsidR="00417FEF" w:rsidRPr="00984006" w:rsidTr="00F00D1F">
        <w:tc>
          <w:tcPr>
            <w:tcW w:w="704" w:type="dxa"/>
          </w:tcPr>
          <w:p w:rsidR="00417FEF" w:rsidRPr="00984006" w:rsidRDefault="00417FEF" w:rsidP="00417FEF">
            <w:pPr>
              <w:jc w:val="center"/>
            </w:pPr>
            <w:r w:rsidRPr="00984006">
              <w:t>Nr. p.k.</w:t>
            </w:r>
          </w:p>
        </w:tc>
        <w:tc>
          <w:tcPr>
            <w:tcW w:w="2268" w:type="dxa"/>
          </w:tcPr>
          <w:p w:rsidR="00417FEF" w:rsidRPr="00984006" w:rsidRDefault="00417FEF" w:rsidP="00417FEF">
            <w:pPr>
              <w:jc w:val="center"/>
            </w:pPr>
            <w:r w:rsidRPr="00984006">
              <w:t>Saskaņošanai nosūtītā projekta redakcija (konkrēta punkta (panta) redakcija)</w:t>
            </w:r>
          </w:p>
        </w:tc>
        <w:tc>
          <w:tcPr>
            <w:tcW w:w="3544" w:type="dxa"/>
          </w:tcPr>
          <w:p w:rsidR="00417FEF" w:rsidRPr="00984006" w:rsidRDefault="00417FEF" w:rsidP="00417FEF">
            <w:pPr>
              <w:jc w:val="center"/>
            </w:pPr>
            <w:r w:rsidRPr="00984006">
              <w:t>Atzinumā norādītais ministrijas (citas institūcijas) iebildums, kā arī saskaņošanā papildus izteiktais iebildums par projekta konkrēto punktu (pantu)</w:t>
            </w:r>
          </w:p>
        </w:tc>
        <w:tc>
          <w:tcPr>
            <w:tcW w:w="3969" w:type="dxa"/>
          </w:tcPr>
          <w:p w:rsidR="00417FEF" w:rsidRPr="00984006" w:rsidRDefault="00403F45" w:rsidP="00417FEF">
            <w:pPr>
              <w:jc w:val="center"/>
            </w:pPr>
            <w:r w:rsidRPr="00984006">
              <w:rPr>
                <w:rFonts w:eastAsia="Times New Roman" w:cs="Times New Roman"/>
                <w:szCs w:val="24"/>
                <w:lang w:eastAsia="lv-LV"/>
              </w:rPr>
              <w:t>Atbildīgās ministrijas pamatojums iebilduma noraidījumam</w:t>
            </w:r>
          </w:p>
        </w:tc>
        <w:tc>
          <w:tcPr>
            <w:tcW w:w="3118" w:type="dxa"/>
          </w:tcPr>
          <w:p w:rsidR="00417FEF" w:rsidRPr="00984006" w:rsidRDefault="00417FEF" w:rsidP="00417FEF">
            <w:pPr>
              <w:jc w:val="both"/>
            </w:pPr>
            <w:r w:rsidRPr="00984006">
              <w:rPr>
                <w:rFonts w:eastAsia="Times New Roman" w:cs="Times New Roman"/>
                <w:szCs w:val="24"/>
                <w:lang w:eastAsia="lv-LV"/>
              </w:rPr>
              <w:t>Atzinuma sniedzēja uzturētais iebildums, ja tas atšķiras no atzinumā norādītā iebilduma pamatojuma</w:t>
            </w:r>
          </w:p>
        </w:tc>
        <w:tc>
          <w:tcPr>
            <w:tcW w:w="1843" w:type="dxa"/>
          </w:tcPr>
          <w:p w:rsidR="00417FEF" w:rsidRPr="00984006" w:rsidRDefault="00417FEF" w:rsidP="00417FEF">
            <w:pPr>
              <w:jc w:val="both"/>
            </w:pPr>
            <w:r w:rsidRPr="00984006">
              <w:t>Projekta attiecīgā punkta (panta) galīgā redakcija</w:t>
            </w:r>
          </w:p>
        </w:tc>
      </w:tr>
      <w:tr w:rsidR="00417FEF" w:rsidRPr="00984006" w:rsidTr="00F00D1F">
        <w:tc>
          <w:tcPr>
            <w:tcW w:w="704" w:type="dxa"/>
            <w:vAlign w:val="center"/>
          </w:tcPr>
          <w:p w:rsidR="00417FEF" w:rsidRPr="00984006" w:rsidRDefault="00F10D01" w:rsidP="00417FEF">
            <w:pPr>
              <w:jc w:val="center"/>
            </w:pPr>
            <w:r w:rsidRPr="00984006">
              <w:t>1</w:t>
            </w:r>
          </w:p>
        </w:tc>
        <w:tc>
          <w:tcPr>
            <w:tcW w:w="2268" w:type="dxa"/>
            <w:vAlign w:val="center"/>
          </w:tcPr>
          <w:p w:rsidR="00417FEF" w:rsidRPr="00984006" w:rsidRDefault="00417FEF" w:rsidP="00417FEF">
            <w:pPr>
              <w:jc w:val="center"/>
            </w:pPr>
            <w:r w:rsidRPr="00984006">
              <w:t>2</w:t>
            </w:r>
          </w:p>
        </w:tc>
        <w:tc>
          <w:tcPr>
            <w:tcW w:w="3544" w:type="dxa"/>
            <w:vAlign w:val="center"/>
          </w:tcPr>
          <w:p w:rsidR="00417FEF" w:rsidRPr="00984006" w:rsidRDefault="00417FEF" w:rsidP="00417FEF">
            <w:pPr>
              <w:jc w:val="center"/>
            </w:pPr>
            <w:r w:rsidRPr="00984006">
              <w:t>3</w:t>
            </w:r>
          </w:p>
        </w:tc>
        <w:tc>
          <w:tcPr>
            <w:tcW w:w="3969" w:type="dxa"/>
            <w:vAlign w:val="center"/>
          </w:tcPr>
          <w:p w:rsidR="00417FEF" w:rsidRPr="00984006" w:rsidRDefault="00417FEF" w:rsidP="00417FEF">
            <w:pPr>
              <w:jc w:val="center"/>
            </w:pPr>
            <w:r w:rsidRPr="00984006">
              <w:t>4</w:t>
            </w:r>
          </w:p>
        </w:tc>
        <w:tc>
          <w:tcPr>
            <w:tcW w:w="3118" w:type="dxa"/>
          </w:tcPr>
          <w:p w:rsidR="00417FEF" w:rsidRPr="00984006" w:rsidRDefault="00417FEF" w:rsidP="005319A8">
            <w:pPr>
              <w:jc w:val="center"/>
            </w:pPr>
            <w:r w:rsidRPr="00984006">
              <w:t>5</w:t>
            </w:r>
          </w:p>
        </w:tc>
        <w:tc>
          <w:tcPr>
            <w:tcW w:w="1843" w:type="dxa"/>
            <w:vAlign w:val="center"/>
          </w:tcPr>
          <w:p w:rsidR="00417FEF" w:rsidRPr="00984006" w:rsidRDefault="005319A8" w:rsidP="005319A8">
            <w:pPr>
              <w:jc w:val="center"/>
            </w:pPr>
            <w:r w:rsidRPr="00984006">
              <w:t>6</w:t>
            </w:r>
          </w:p>
        </w:tc>
      </w:tr>
      <w:tr w:rsidR="00417FEF" w:rsidRPr="00984006" w:rsidTr="00F00D1F">
        <w:tc>
          <w:tcPr>
            <w:tcW w:w="704" w:type="dxa"/>
          </w:tcPr>
          <w:p w:rsidR="00417FEF" w:rsidRPr="00984006" w:rsidRDefault="00417FEF" w:rsidP="00417FEF"/>
        </w:tc>
        <w:tc>
          <w:tcPr>
            <w:tcW w:w="2268" w:type="dxa"/>
          </w:tcPr>
          <w:p w:rsidR="002A11E4" w:rsidRPr="002A11E4" w:rsidRDefault="002A11E4" w:rsidP="002A11E4">
            <w:pPr>
              <w:pStyle w:val="CommentText"/>
              <w:ind w:firstLine="184"/>
              <w:jc w:val="both"/>
              <w:rPr>
                <w:sz w:val="24"/>
                <w:szCs w:val="24"/>
              </w:rPr>
            </w:pPr>
          </w:p>
        </w:tc>
        <w:tc>
          <w:tcPr>
            <w:tcW w:w="3544" w:type="dxa"/>
          </w:tcPr>
          <w:p w:rsidR="00F104E4" w:rsidRPr="00984006" w:rsidRDefault="00F104E4" w:rsidP="003E1A74">
            <w:pPr>
              <w:jc w:val="both"/>
            </w:pPr>
          </w:p>
        </w:tc>
        <w:tc>
          <w:tcPr>
            <w:tcW w:w="3969" w:type="dxa"/>
          </w:tcPr>
          <w:p w:rsidR="00417FEF" w:rsidRPr="00984006" w:rsidRDefault="00417FEF" w:rsidP="00A977DC">
            <w:pPr>
              <w:ind w:right="142"/>
              <w:jc w:val="both"/>
              <w:rPr>
                <w:b/>
              </w:rPr>
            </w:pPr>
          </w:p>
        </w:tc>
        <w:tc>
          <w:tcPr>
            <w:tcW w:w="3118" w:type="dxa"/>
          </w:tcPr>
          <w:p w:rsidR="00417FEF" w:rsidRPr="00984006" w:rsidRDefault="00417FEF" w:rsidP="00417FEF">
            <w:pPr>
              <w:jc w:val="both"/>
            </w:pPr>
          </w:p>
        </w:tc>
        <w:tc>
          <w:tcPr>
            <w:tcW w:w="1843" w:type="dxa"/>
          </w:tcPr>
          <w:p w:rsidR="00417FEF" w:rsidRPr="00984006" w:rsidRDefault="00417FEF" w:rsidP="00417FEF">
            <w:pPr>
              <w:jc w:val="both"/>
            </w:pPr>
          </w:p>
        </w:tc>
      </w:tr>
    </w:tbl>
    <w:p w:rsidR="009C238F" w:rsidRPr="00984006" w:rsidRDefault="009C238F" w:rsidP="009C238F">
      <w:pPr>
        <w:spacing w:before="75" w:after="75"/>
        <w:ind w:firstLine="375"/>
        <w:jc w:val="both"/>
        <w:rPr>
          <w:rFonts w:eastAsia="Times New Roman" w:cs="Times New Roman"/>
          <w:sz w:val="4"/>
          <w:szCs w:val="4"/>
          <w:lang w:eastAsia="lv-LV"/>
        </w:rPr>
      </w:pPr>
      <w:r w:rsidRPr="00984006">
        <w:rPr>
          <w:rFonts w:eastAsia="Times New Roman" w:cs="Times New Roman"/>
          <w:sz w:val="4"/>
          <w:szCs w:val="4"/>
          <w:lang w:eastAsia="lv-LV"/>
        </w:rPr>
        <w:t> </w:t>
      </w:r>
    </w:p>
    <w:p w:rsidR="00F10D01" w:rsidRPr="00F10D01" w:rsidRDefault="00F10D01" w:rsidP="00F10D01">
      <w:pPr>
        <w:spacing w:after="120"/>
        <w:rPr>
          <w:rFonts w:eastAsia="Times New Roman" w:cs="Times New Roman"/>
          <w:b/>
          <w:szCs w:val="24"/>
          <w:lang w:eastAsia="lv-LV"/>
        </w:rPr>
      </w:pPr>
      <w:r w:rsidRPr="00F10D01">
        <w:rPr>
          <w:rFonts w:eastAsia="Times New Roman" w:cs="Times New Roman"/>
          <w:b/>
          <w:bCs/>
          <w:szCs w:val="24"/>
          <w:lang w:eastAsia="lv-LV"/>
        </w:rPr>
        <w:t xml:space="preserve">Informācija par </w:t>
      </w:r>
      <w:proofErr w:type="spellStart"/>
      <w:r w:rsidRPr="00F10D01">
        <w:rPr>
          <w:rFonts w:eastAsia="Times New Roman" w:cs="Times New Roman"/>
          <w:b/>
          <w:bCs/>
          <w:szCs w:val="24"/>
          <w:lang w:eastAsia="lv-LV"/>
        </w:rPr>
        <w:t>starpministriju</w:t>
      </w:r>
      <w:proofErr w:type="spellEnd"/>
      <w:r w:rsidRPr="00F10D01">
        <w:rPr>
          <w:rFonts w:eastAsia="Times New Roman" w:cs="Times New Roman"/>
          <w:b/>
          <w:bCs/>
          <w:szCs w:val="24"/>
          <w:lang w:eastAsia="lv-LV"/>
        </w:rPr>
        <w:t xml:space="preserve"> (starpinstitūciju) sanāksmi vai elektronisko saskaņošanu</w:t>
      </w:r>
    </w:p>
    <w:tbl>
      <w:tblPr>
        <w:tblW w:w="12582" w:type="dxa"/>
        <w:tblLook w:val="00A0" w:firstRow="1" w:lastRow="0" w:firstColumn="1" w:lastColumn="0" w:noHBand="0" w:noVBand="0"/>
      </w:tblPr>
      <w:tblGrid>
        <w:gridCol w:w="5387"/>
        <w:gridCol w:w="6946"/>
        <w:gridCol w:w="249"/>
      </w:tblGrid>
      <w:tr w:rsidR="00F10D01" w:rsidRPr="00712B66" w:rsidTr="00617E20">
        <w:tc>
          <w:tcPr>
            <w:tcW w:w="5387" w:type="dxa"/>
          </w:tcPr>
          <w:p w:rsidR="00F10D01" w:rsidRPr="00712B66" w:rsidRDefault="00F10D01" w:rsidP="00617E20">
            <w:pPr>
              <w:pStyle w:val="naisf"/>
              <w:spacing w:before="0" w:after="0"/>
              <w:ind w:firstLine="0"/>
            </w:pPr>
            <w:r w:rsidRPr="00712B66">
              <w:t>Datums</w:t>
            </w:r>
          </w:p>
        </w:tc>
        <w:tc>
          <w:tcPr>
            <w:tcW w:w="7195" w:type="dxa"/>
            <w:gridSpan w:val="2"/>
            <w:tcBorders>
              <w:bottom w:val="single" w:sz="4" w:space="0" w:color="auto"/>
            </w:tcBorders>
          </w:tcPr>
          <w:p w:rsidR="00F10D01" w:rsidRDefault="00F10D01" w:rsidP="00617E20">
            <w:pPr>
              <w:jc w:val="both"/>
              <w:rPr>
                <w:bCs/>
              </w:rPr>
            </w:pPr>
            <w:r>
              <w:rPr>
                <w:rFonts w:eastAsia="Times New Roman" w:cs="Times New Roman"/>
                <w:bCs/>
                <w:szCs w:val="24"/>
                <w:lang w:eastAsia="lv-LV"/>
              </w:rPr>
              <w:t>VSS izsludināšana 2019.gada 8.augustā</w:t>
            </w:r>
          </w:p>
          <w:p w:rsidR="00F10D01" w:rsidRDefault="00F10D01" w:rsidP="00617E20">
            <w:pPr>
              <w:jc w:val="both"/>
              <w:rPr>
                <w:bCs/>
              </w:rPr>
            </w:pPr>
            <w:proofErr w:type="spellStart"/>
            <w:r w:rsidRPr="004B28B2">
              <w:rPr>
                <w:rFonts w:eastAsia="Times New Roman" w:cs="Times New Roman"/>
                <w:bCs/>
                <w:szCs w:val="24"/>
                <w:lang w:eastAsia="lv-LV"/>
              </w:rPr>
              <w:t>starpministriju</w:t>
            </w:r>
            <w:proofErr w:type="spellEnd"/>
            <w:r w:rsidRPr="004B28B2">
              <w:rPr>
                <w:rFonts w:eastAsia="Times New Roman" w:cs="Times New Roman"/>
                <w:bCs/>
                <w:szCs w:val="24"/>
                <w:lang w:eastAsia="lv-LV"/>
              </w:rPr>
              <w:t xml:space="preserve"> (starpinstitūciju) sanāksme</w:t>
            </w:r>
            <w:r w:rsidRPr="00984006">
              <w:rPr>
                <w:rFonts w:eastAsia="Times New Roman" w:cs="Times New Roman"/>
                <w:bCs/>
                <w:szCs w:val="24"/>
                <w:lang w:eastAsia="lv-LV"/>
              </w:rPr>
              <w:t xml:space="preserve"> 201</w:t>
            </w:r>
            <w:r>
              <w:rPr>
                <w:rFonts w:eastAsia="Times New Roman" w:cs="Times New Roman"/>
                <w:bCs/>
                <w:szCs w:val="24"/>
                <w:lang w:eastAsia="lv-LV"/>
              </w:rPr>
              <w:t>9</w:t>
            </w:r>
            <w:r w:rsidRPr="00984006">
              <w:rPr>
                <w:rFonts w:eastAsia="Times New Roman" w:cs="Times New Roman"/>
                <w:bCs/>
                <w:szCs w:val="24"/>
                <w:lang w:eastAsia="lv-LV"/>
              </w:rPr>
              <w:t>.gada</w:t>
            </w:r>
            <w:r>
              <w:rPr>
                <w:rFonts w:eastAsia="Times New Roman" w:cs="Times New Roman"/>
                <w:bCs/>
                <w:szCs w:val="24"/>
                <w:lang w:eastAsia="lv-LV"/>
              </w:rPr>
              <w:t xml:space="preserve"> 18.septembrī</w:t>
            </w:r>
          </w:p>
          <w:p w:rsidR="00F10D01" w:rsidRPr="00B659AF" w:rsidRDefault="00F10D01" w:rsidP="00617E20">
            <w:pPr>
              <w:spacing w:after="120"/>
              <w:jc w:val="both"/>
              <w:rPr>
                <w:bCs/>
              </w:rPr>
            </w:pPr>
            <w:r>
              <w:rPr>
                <w:rFonts w:eastAsia="Times New Roman" w:cs="Times New Roman"/>
                <w:bCs/>
                <w:szCs w:val="24"/>
                <w:lang w:eastAsia="lv-LV"/>
              </w:rPr>
              <w:t>elektroniskā saskaņošana 2019.gada 30.septembrī un 25.oktobrī</w:t>
            </w:r>
          </w:p>
        </w:tc>
      </w:tr>
      <w:tr w:rsidR="00F10D01" w:rsidRPr="00712B66" w:rsidTr="00617E20">
        <w:tc>
          <w:tcPr>
            <w:tcW w:w="5387" w:type="dxa"/>
          </w:tcPr>
          <w:p w:rsidR="00F10D01" w:rsidRPr="00712B66" w:rsidRDefault="00F10D01" w:rsidP="00617E20">
            <w:pPr>
              <w:pStyle w:val="naisf"/>
              <w:spacing w:before="0" w:after="0"/>
              <w:ind w:firstLine="0"/>
            </w:pPr>
          </w:p>
        </w:tc>
        <w:tc>
          <w:tcPr>
            <w:tcW w:w="7195" w:type="dxa"/>
            <w:gridSpan w:val="2"/>
            <w:tcBorders>
              <w:top w:val="single" w:sz="4" w:space="0" w:color="auto"/>
            </w:tcBorders>
          </w:tcPr>
          <w:p w:rsidR="00F10D01" w:rsidRPr="00712B66" w:rsidRDefault="00F10D01" w:rsidP="00617E20">
            <w:pPr>
              <w:pStyle w:val="NormalWeb"/>
              <w:spacing w:before="0" w:beforeAutospacing="0" w:after="0" w:afterAutospacing="0"/>
              <w:ind w:firstLine="720"/>
            </w:pPr>
          </w:p>
        </w:tc>
      </w:tr>
      <w:tr w:rsidR="00F10D01" w:rsidRPr="00712B66" w:rsidTr="00617E20">
        <w:tc>
          <w:tcPr>
            <w:tcW w:w="5387" w:type="dxa"/>
          </w:tcPr>
          <w:p w:rsidR="00F10D01" w:rsidRPr="00712B66" w:rsidRDefault="00F10D01" w:rsidP="00617E20">
            <w:pPr>
              <w:pStyle w:val="naiskr"/>
              <w:spacing w:before="0" w:after="0"/>
            </w:pPr>
            <w:r>
              <w:t>Saskaņošanas d</w:t>
            </w:r>
            <w:r w:rsidRPr="00712B66">
              <w:t>alībnieki</w:t>
            </w:r>
          </w:p>
        </w:tc>
        <w:tc>
          <w:tcPr>
            <w:tcW w:w="7195" w:type="dxa"/>
            <w:gridSpan w:val="2"/>
            <w:tcBorders>
              <w:bottom w:val="single" w:sz="6" w:space="0" w:color="000000"/>
            </w:tcBorders>
          </w:tcPr>
          <w:p w:rsidR="00F10D01" w:rsidRPr="00712B66" w:rsidRDefault="00F10D01" w:rsidP="00617E20">
            <w:pPr>
              <w:pStyle w:val="NormalWeb"/>
              <w:spacing w:before="0" w:beforeAutospacing="0" w:after="0" w:afterAutospacing="0"/>
              <w:jc w:val="both"/>
            </w:pPr>
            <w:r w:rsidRPr="00984006">
              <w:rPr>
                <w:bCs/>
              </w:rPr>
              <w:t>Tieslietu ministrija, Vides aizsardzības un reģionālās attīstības ministrija,</w:t>
            </w:r>
            <w:r>
              <w:rPr>
                <w:bCs/>
              </w:rPr>
              <w:t xml:space="preserve"> </w:t>
            </w:r>
            <w:r w:rsidRPr="00B439D5">
              <w:rPr>
                <w:bCs/>
              </w:rPr>
              <w:t>Latvijas Finanšu nozares asociācija</w:t>
            </w:r>
            <w:r>
              <w:rPr>
                <w:bCs/>
              </w:rPr>
              <w:t>, Tiesu administrācija, Latvijas Zvērinātu tiesu izpildītāju padome, Latvijas Maksājumu pakalpojumu un elektroniskās naudas iestāžu asociācija, Valsts ieņēmumu dienests</w:t>
            </w:r>
            <w:r w:rsidRPr="0010534E">
              <w:rPr>
                <w:bCs/>
              </w:rPr>
              <w:t>.</w:t>
            </w:r>
          </w:p>
        </w:tc>
      </w:tr>
      <w:tr w:rsidR="00F10D01" w:rsidRPr="00712B66" w:rsidTr="00617E20">
        <w:tc>
          <w:tcPr>
            <w:tcW w:w="5387" w:type="dxa"/>
          </w:tcPr>
          <w:p w:rsidR="00F10D01" w:rsidRPr="00712B66" w:rsidRDefault="00F10D01" w:rsidP="00617E20">
            <w:pPr>
              <w:pStyle w:val="naiskr"/>
              <w:spacing w:before="0" w:after="0"/>
              <w:ind w:firstLine="720"/>
            </w:pPr>
            <w:r w:rsidRPr="00712B66">
              <w:t>  </w:t>
            </w:r>
          </w:p>
        </w:tc>
        <w:tc>
          <w:tcPr>
            <w:tcW w:w="7195" w:type="dxa"/>
            <w:gridSpan w:val="2"/>
            <w:tcBorders>
              <w:top w:val="single" w:sz="6" w:space="0" w:color="000000"/>
            </w:tcBorders>
          </w:tcPr>
          <w:p w:rsidR="00F10D01" w:rsidRPr="00712B66" w:rsidRDefault="00F10D01" w:rsidP="00617E20">
            <w:pPr>
              <w:pStyle w:val="naiskr"/>
              <w:spacing w:before="0" w:after="0"/>
              <w:ind w:firstLine="720"/>
            </w:pPr>
          </w:p>
        </w:tc>
      </w:tr>
      <w:tr w:rsidR="00F10D01" w:rsidRPr="00712B66" w:rsidTr="00617E20">
        <w:trPr>
          <w:trHeight w:val="285"/>
        </w:trPr>
        <w:tc>
          <w:tcPr>
            <w:tcW w:w="5387" w:type="dxa"/>
          </w:tcPr>
          <w:p w:rsidR="00F10D01" w:rsidRPr="00712B66" w:rsidRDefault="00F10D01" w:rsidP="00617E20">
            <w:pPr>
              <w:pStyle w:val="naiskr"/>
              <w:spacing w:before="0" w:after="0"/>
            </w:pPr>
          </w:p>
        </w:tc>
        <w:tc>
          <w:tcPr>
            <w:tcW w:w="6946" w:type="dxa"/>
          </w:tcPr>
          <w:p w:rsidR="00F10D01" w:rsidRPr="00712B66" w:rsidRDefault="00F10D01" w:rsidP="00617E20">
            <w:pPr>
              <w:pStyle w:val="naiskr"/>
              <w:spacing w:before="0" w:after="0"/>
              <w:ind w:firstLine="720"/>
            </w:pPr>
          </w:p>
        </w:tc>
        <w:tc>
          <w:tcPr>
            <w:tcW w:w="249" w:type="dxa"/>
          </w:tcPr>
          <w:p w:rsidR="00F10D01" w:rsidRPr="00712B66" w:rsidRDefault="00F10D01" w:rsidP="00617E20">
            <w:pPr>
              <w:pStyle w:val="naiskr"/>
              <w:spacing w:before="0" w:after="0"/>
              <w:ind w:firstLine="12"/>
            </w:pPr>
          </w:p>
        </w:tc>
      </w:tr>
      <w:tr w:rsidR="00F10D01" w:rsidRPr="00712B66" w:rsidTr="00617E20">
        <w:trPr>
          <w:trHeight w:val="285"/>
        </w:trPr>
        <w:tc>
          <w:tcPr>
            <w:tcW w:w="5387" w:type="dxa"/>
          </w:tcPr>
          <w:p w:rsidR="00F10D01" w:rsidRPr="00712B66" w:rsidRDefault="00F10D01" w:rsidP="00617E2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946" w:type="dxa"/>
            <w:tcBorders>
              <w:bottom w:val="single" w:sz="6" w:space="0" w:color="000000"/>
            </w:tcBorders>
          </w:tcPr>
          <w:p w:rsidR="00F10D01" w:rsidRPr="00712B66" w:rsidRDefault="00F10D01" w:rsidP="00617E20">
            <w:pPr>
              <w:pStyle w:val="naiskr"/>
              <w:spacing w:before="0" w:after="0"/>
            </w:pPr>
            <w:r w:rsidRPr="00984006">
              <w:rPr>
                <w:bCs/>
              </w:rPr>
              <w:t>Tieslietu ministrija,</w:t>
            </w:r>
            <w:r>
              <w:rPr>
                <w:bCs/>
              </w:rPr>
              <w:t xml:space="preserve"> </w:t>
            </w:r>
            <w:r w:rsidRPr="00B439D5">
              <w:rPr>
                <w:bCs/>
              </w:rPr>
              <w:t>Latvijas Finanšu nozares asociācija</w:t>
            </w:r>
            <w:r>
              <w:rPr>
                <w:bCs/>
              </w:rPr>
              <w:t>,</w:t>
            </w:r>
            <w:r w:rsidRPr="004B28B2">
              <w:rPr>
                <w:bCs/>
              </w:rPr>
              <w:t xml:space="preserve"> </w:t>
            </w:r>
            <w:r>
              <w:rPr>
                <w:bCs/>
              </w:rPr>
              <w:t>Tiesu administrācija,</w:t>
            </w:r>
            <w:r w:rsidRPr="00730932">
              <w:rPr>
                <w:bCs/>
              </w:rPr>
              <w:t xml:space="preserve"> </w:t>
            </w:r>
            <w:r w:rsidRPr="00984006">
              <w:rPr>
                <w:bCs/>
              </w:rPr>
              <w:t>Vides aizsardzības un reģionālās attīstības ministrija</w:t>
            </w:r>
            <w:r>
              <w:rPr>
                <w:bCs/>
              </w:rPr>
              <w:t>.</w:t>
            </w:r>
          </w:p>
        </w:tc>
        <w:tc>
          <w:tcPr>
            <w:tcW w:w="249" w:type="dxa"/>
            <w:tcBorders>
              <w:bottom w:val="single" w:sz="6" w:space="0" w:color="000000"/>
            </w:tcBorders>
          </w:tcPr>
          <w:p w:rsidR="00F10D01" w:rsidRPr="00712B66" w:rsidRDefault="00F10D01" w:rsidP="00617E20">
            <w:pPr>
              <w:pStyle w:val="naiskr"/>
              <w:spacing w:before="0" w:after="0"/>
              <w:ind w:firstLine="12"/>
              <w:jc w:val="both"/>
            </w:pPr>
          </w:p>
        </w:tc>
      </w:tr>
      <w:tr w:rsidR="00F10D01" w:rsidRPr="00712B66" w:rsidTr="00617E20">
        <w:trPr>
          <w:trHeight w:val="465"/>
        </w:trPr>
        <w:tc>
          <w:tcPr>
            <w:tcW w:w="5387" w:type="dxa"/>
          </w:tcPr>
          <w:p w:rsidR="00F10D01" w:rsidRPr="00712B66" w:rsidRDefault="00F10D01" w:rsidP="00617E20">
            <w:pPr>
              <w:pStyle w:val="naiskr"/>
              <w:spacing w:before="0" w:after="0"/>
              <w:ind w:firstLine="720"/>
            </w:pPr>
            <w:r w:rsidRPr="00712B66">
              <w:t>  </w:t>
            </w:r>
          </w:p>
        </w:tc>
        <w:tc>
          <w:tcPr>
            <w:tcW w:w="7195" w:type="dxa"/>
            <w:gridSpan w:val="2"/>
            <w:tcBorders>
              <w:top w:val="single" w:sz="6" w:space="0" w:color="000000"/>
            </w:tcBorders>
          </w:tcPr>
          <w:p w:rsidR="00F10D01" w:rsidRPr="00712B66" w:rsidRDefault="00F10D01" w:rsidP="00617E20">
            <w:pPr>
              <w:pStyle w:val="NormalWeb"/>
              <w:spacing w:before="0" w:beforeAutospacing="0" w:after="0" w:afterAutospacing="0"/>
              <w:ind w:firstLine="720"/>
            </w:pPr>
          </w:p>
        </w:tc>
      </w:tr>
      <w:tr w:rsidR="00F10D01" w:rsidRPr="00712B66" w:rsidTr="00617E20">
        <w:trPr>
          <w:trHeight w:val="465"/>
        </w:trPr>
        <w:tc>
          <w:tcPr>
            <w:tcW w:w="12582" w:type="dxa"/>
            <w:gridSpan w:val="3"/>
          </w:tcPr>
          <w:p w:rsidR="00F10D01" w:rsidRPr="00712B66" w:rsidRDefault="00F10D01" w:rsidP="00617E20">
            <w:pPr>
              <w:pStyle w:val="naisc"/>
              <w:spacing w:before="0" w:after="0"/>
              <w:ind w:left="4820" w:firstLine="720"/>
            </w:pPr>
          </w:p>
        </w:tc>
      </w:tr>
      <w:tr w:rsidR="00F10D01" w:rsidRPr="00712B66" w:rsidTr="00617E20">
        <w:tc>
          <w:tcPr>
            <w:tcW w:w="5387" w:type="dxa"/>
          </w:tcPr>
          <w:p w:rsidR="00F10D01" w:rsidRPr="00712B66" w:rsidRDefault="00F10D01" w:rsidP="00617E20">
            <w:pPr>
              <w:pStyle w:val="naiskr"/>
              <w:spacing w:before="0" w:after="0"/>
            </w:pPr>
            <w:r w:rsidRPr="00712B66">
              <w:t>Ministrijas (citas institūcijas), kuras nav ieradušās uz sanāksmi vai kuras nav atbildējušas uz uzaicinājumu piedalīties elektroniskajā saskaņošanā</w:t>
            </w:r>
          </w:p>
        </w:tc>
        <w:tc>
          <w:tcPr>
            <w:tcW w:w="7195" w:type="dxa"/>
            <w:gridSpan w:val="2"/>
            <w:tcBorders>
              <w:bottom w:val="single" w:sz="6" w:space="0" w:color="000000"/>
            </w:tcBorders>
          </w:tcPr>
          <w:p w:rsidR="00F10D01" w:rsidRDefault="00F10D01" w:rsidP="00617E20">
            <w:pPr>
              <w:pStyle w:val="naiskr"/>
              <w:spacing w:before="0" w:after="0"/>
              <w:rPr>
                <w:bCs/>
              </w:rPr>
            </w:pPr>
          </w:p>
          <w:p w:rsidR="00F10D01" w:rsidRPr="00712B66" w:rsidRDefault="00F10D01" w:rsidP="00617E20">
            <w:pPr>
              <w:pStyle w:val="naiskr"/>
              <w:spacing w:before="0" w:after="0"/>
            </w:pPr>
            <w:r w:rsidRPr="004B28B2">
              <w:rPr>
                <w:bCs/>
              </w:rPr>
              <w:t>Latvijas Maksājumu pakalpojumu un elektroniskās naudas iestāžu asociācija</w:t>
            </w:r>
          </w:p>
        </w:tc>
      </w:tr>
      <w:tr w:rsidR="00F10D01" w:rsidRPr="00712B66" w:rsidTr="00617E20">
        <w:tc>
          <w:tcPr>
            <w:tcW w:w="5387" w:type="dxa"/>
          </w:tcPr>
          <w:p w:rsidR="00F10D01" w:rsidRPr="00712B66" w:rsidRDefault="00F10D01" w:rsidP="00617E20">
            <w:pPr>
              <w:pStyle w:val="naiskr"/>
              <w:spacing w:before="0" w:after="0"/>
              <w:ind w:firstLine="720"/>
            </w:pPr>
            <w:r w:rsidRPr="00712B66">
              <w:t>  </w:t>
            </w:r>
          </w:p>
        </w:tc>
        <w:tc>
          <w:tcPr>
            <w:tcW w:w="7195" w:type="dxa"/>
            <w:gridSpan w:val="2"/>
            <w:tcBorders>
              <w:top w:val="single" w:sz="6" w:space="0" w:color="000000"/>
            </w:tcBorders>
          </w:tcPr>
          <w:p w:rsidR="00F10D01" w:rsidRPr="00712B66" w:rsidRDefault="00F10D01" w:rsidP="00617E20">
            <w:pPr>
              <w:pStyle w:val="naiskr"/>
              <w:spacing w:before="0" w:after="0"/>
              <w:ind w:firstLine="720"/>
            </w:pPr>
          </w:p>
        </w:tc>
      </w:tr>
    </w:tbl>
    <w:p w:rsidR="004F4A83" w:rsidRPr="00984006" w:rsidRDefault="004F4A83" w:rsidP="004F4A83">
      <w:pPr>
        <w:spacing w:before="150" w:after="150"/>
        <w:jc w:val="center"/>
        <w:rPr>
          <w:rFonts w:eastAsia="Times New Roman" w:cs="Times New Roman"/>
          <w:b/>
          <w:bCs/>
          <w:szCs w:val="24"/>
          <w:lang w:eastAsia="lv-LV"/>
        </w:rPr>
      </w:pPr>
      <w:r w:rsidRPr="00984006">
        <w:rPr>
          <w:rFonts w:eastAsia="Times New Roman" w:cs="Times New Roman"/>
          <w:b/>
          <w:bCs/>
          <w:szCs w:val="24"/>
          <w:lang w:eastAsia="lv-LV"/>
        </w:rPr>
        <w:lastRenderedPageBreak/>
        <w:t>II. </w:t>
      </w:r>
      <w:r w:rsidR="00531C98" w:rsidRPr="00984006">
        <w:rPr>
          <w:rFonts w:eastAsia="Times New Roman" w:cs="Times New Roman"/>
          <w:b/>
          <w:bCs/>
          <w:szCs w:val="24"/>
          <w:lang w:eastAsia="lv-LV"/>
        </w:rPr>
        <w:t xml:space="preserve"> </w:t>
      </w:r>
      <w:r w:rsidRPr="00984006">
        <w:rPr>
          <w:rFonts w:eastAsia="Times New Roman" w:cs="Times New Roman"/>
          <w:b/>
          <w:bCs/>
          <w:szCs w:val="24"/>
          <w:lang w:eastAsia="lv-LV"/>
        </w:rPr>
        <w:t>Jautājumi, par kuriem saskaņošanā vienošanās ir panākta</w:t>
      </w:r>
    </w:p>
    <w:tbl>
      <w:tblPr>
        <w:tblStyle w:val="TableGrid"/>
        <w:tblW w:w="15305" w:type="dxa"/>
        <w:tblLayout w:type="fixed"/>
        <w:tblLook w:val="04A0" w:firstRow="1" w:lastRow="0" w:firstColumn="1" w:lastColumn="0" w:noHBand="0" w:noVBand="1"/>
      </w:tblPr>
      <w:tblGrid>
        <w:gridCol w:w="576"/>
        <w:gridCol w:w="2963"/>
        <w:gridCol w:w="4252"/>
        <w:gridCol w:w="3828"/>
        <w:gridCol w:w="3686"/>
      </w:tblGrid>
      <w:tr w:rsidR="004F4A83" w:rsidRPr="00984006" w:rsidTr="00BA0343">
        <w:trPr>
          <w:tblHeader/>
        </w:trPr>
        <w:tc>
          <w:tcPr>
            <w:tcW w:w="576" w:type="dxa"/>
          </w:tcPr>
          <w:p w:rsidR="004F4A83" w:rsidRPr="00984006" w:rsidRDefault="004F4A83" w:rsidP="00126C72">
            <w:r w:rsidRPr="00984006">
              <w:t>Nr. p.k.</w:t>
            </w:r>
          </w:p>
        </w:tc>
        <w:tc>
          <w:tcPr>
            <w:tcW w:w="2963" w:type="dxa"/>
          </w:tcPr>
          <w:p w:rsidR="004F4A83" w:rsidRPr="00984006" w:rsidRDefault="004F4A83" w:rsidP="00126C72">
            <w:r w:rsidRPr="00984006">
              <w:t>Saskaņošanai nosūtītā projekta redakcija (konkrēta punkta (panta) redakcija)</w:t>
            </w:r>
          </w:p>
        </w:tc>
        <w:tc>
          <w:tcPr>
            <w:tcW w:w="4252" w:type="dxa"/>
          </w:tcPr>
          <w:p w:rsidR="004F4A83" w:rsidRPr="00984006" w:rsidRDefault="004F4A83" w:rsidP="00AD786C">
            <w:pPr>
              <w:jc w:val="both"/>
            </w:pPr>
            <w:r w:rsidRPr="00984006">
              <w:t>Atzinumā norādītais ministrijas (citas institūcijas) iebildums, kā arī saskaņošanā papildus izteiktais iebildums par projekta konkrēto punktu (pantu)</w:t>
            </w:r>
          </w:p>
        </w:tc>
        <w:tc>
          <w:tcPr>
            <w:tcW w:w="3828" w:type="dxa"/>
          </w:tcPr>
          <w:p w:rsidR="004F4A83" w:rsidRPr="00984006" w:rsidRDefault="004F4A83" w:rsidP="00AD786C">
            <w:pPr>
              <w:jc w:val="both"/>
              <w:rPr>
                <w:sz w:val="22"/>
              </w:rPr>
            </w:pPr>
            <w:r w:rsidRPr="00984006">
              <w:rPr>
                <w:sz w:val="22"/>
              </w:rPr>
              <w:t>Atbildīgās ministrijas norāde par to, ka iebildums ir ņemts vērā, vai informācija par saskaņošanā panākto alternatīvo risinājumu</w:t>
            </w:r>
          </w:p>
        </w:tc>
        <w:tc>
          <w:tcPr>
            <w:tcW w:w="3686" w:type="dxa"/>
          </w:tcPr>
          <w:p w:rsidR="004F4A83" w:rsidRPr="00984006" w:rsidRDefault="004F4A83" w:rsidP="00126C72">
            <w:r w:rsidRPr="00984006">
              <w:t>Projekta attiecīgā punkta (panta) galīgā redakcija</w:t>
            </w:r>
          </w:p>
        </w:tc>
      </w:tr>
      <w:tr w:rsidR="008F38C1" w:rsidRPr="00984006" w:rsidTr="00BA0343">
        <w:tc>
          <w:tcPr>
            <w:tcW w:w="576" w:type="dxa"/>
          </w:tcPr>
          <w:p w:rsidR="008F38C1" w:rsidRDefault="008F38C1" w:rsidP="00634435">
            <w:r>
              <w:t>1</w:t>
            </w:r>
          </w:p>
        </w:tc>
        <w:tc>
          <w:tcPr>
            <w:tcW w:w="2963" w:type="dxa"/>
            <w:vMerge w:val="restart"/>
          </w:tcPr>
          <w:p w:rsidR="008F38C1" w:rsidRDefault="008F38C1" w:rsidP="00634435">
            <w:pPr>
              <w:pStyle w:val="CommentText"/>
              <w:ind w:firstLine="184"/>
              <w:jc w:val="both"/>
              <w:rPr>
                <w:b/>
                <w:sz w:val="24"/>
                <w:szCs w:val="24"/>
              </w:rPr>
            </w:pPr>
            <w:r w:rsidRPr="002A11E4">
              <w:rPr>
                <w:b/>
                <w:sz w:val="24"/>
                <w:szCs w:val="24"/>
              </w:rPr>
              <w:t>Noteikumu projekta 1.2</w:t>
            </w:r>
            <w:r>
              <w:rPr>
                <w:b/>
                <w:sz w:val="24"/>
                <w:szCs w:val="24"/>
              </w:rPr>
              <w:t>.</w:t>
            </w:r>
            <w:r w:rsidRPr="002A11E4">
              <w:rPr>
                <w:b/>
                <w:sz w:val="24"/>
                <w:szCs w:val="24"/>
              </w:rPr>
              <w:t xml:space="preserve"> un 1.3.apakšpunkts</w:t>
            </w:r>
          </w:p>
          <w:p w:rsidR="008F38C1" w:rsidRPr="002A11E4" w:rsidRDefault="008F38C1" w:rsidP="00634435">
            <w:pPr>
              <w:pStyle w:val="CommentText"/>
              <w:ind w:firstLine="184"/>
              <w:jc w:val="both"/>
              <w:rPr>
                <w:sz w:val="24"/>
                <w:szCs w:val="24"/>
              </w:rPr>
            </w:pPr>
            <w:r w:rsidRPr="002A11E4">
              <w:rPr>
                <w:sz w:val="24"/>
                <w:szCs w:val="24"/>
              </w:rPr>
              <w:t>1.2. aizstāt 15. punktā vārdus un skaitli “izmantojot šo noteikumu 7.2. apakšpunktā minēto elektroniskā pasta adresi” ar vārdiem “atbilstoši XML shēmu struktūrai” un vārdus un skaitli “nosūta konkrētā rīkojuma devējam (dienestam – uz šo noteikumu 8.1 apakšpunktā minēto elektroniskā pasta adresi, zvērinātam tiesu izpildītājam – uz Latvijas Zvērinātu tiesu izpildītāju padomes tīmekļvietnē publicēto tiesu izpildītāja elektroniskā pasta adresi) informāciju” ar vārdiem “paziņojumu (atbilstoši XML shēmu struktūrai) konkrētā rīkojuma devējam”;</w:t>
            </w:r>
          </w:p>
          <w:p w:rsidR="008F38C1" w:rsidRPr="002A11E4" w:rsidRDefault="008F38C1" w:rsidP="00634435">
            <w:pPr>
              <w:pStyle w:val="CommentText"/>
              <w:ind w:firstLine="184"/>
              <w:jc w:val="both"/>
              <w:rPr>
                <w:sz w:val="24"/>
                <w:szCs w:val="24"/>
              </w:rPr>
            </w:pPr>
          </w:p>
          <w:p w:rsidR="008F38C1" w:rsidRDefault="008F38C1" w:rsidP="00F94379">
            <w:pPr>
              <w:jc w:val="both"/>
            </w:pPr>
            <w:r w:rsidRPr="002A11E4">
              <w:rPr>
                <w:szCs w:val="24"/>
              </w:rPr>
              <w:t xml:space="preserve">1.3. aizstāt 16. punktā vārdus un skaitli “nosūta konkrētā rīkojuma devējam (dienestam – uz šo </w:t>
            </w:r>
            <w:r w:rsidRPr="002A11E4">
              <w:rPr>
                <w:szCs w:val="24"/>
              </w:rPr>
              <w:lastRenderedPageBreak/>
              <w:t>noteikumu 8.1. apakšpunktā minēto elektroniskā pasta adresi, zvērinātam tiesu izpildītājam – uz Latvijas Zvērinātu tiesu izpildītāju padomes tīmekļvietnē publicēto tiesu izpildītāja elektroniskā pasta adresi) informāciju” ar vārdiem “ievieto datu izplatīšanas tīkla kanālā paziņojumu (atbilstoši XML shēmu struktūrai) konkrētā rīkojuma devējam” un vārdus un skaitli “nosūta subjektam uz šo noteikumu 7.2. apakšpunktā minēto elektroniskā pasta adresi informāciju” ar vārdiem “paziņojumu (atbilstoši XML shēmu struktūrai) konkrētam subjektam”;</w:t>
            </w:r>
          </w:p>
        </w:tc>
        <w:tc>
          <w:tcPr>
            <w:tcW w:w="4252" w:type="dxa"/>
          </w:tcPr>
          <w:p w:rsidR="008F38C1" w:rsidRPr="00984006" w:rsidRDefault="008F38C1" w:rsidP="001C1E53">
            <w:pPr>
              <w:jc w:val="both"/>
              <w:rPr>
                <w:b/>
              </w:rPr>
            </w:pPr>
            <w:r>
              <w:rPr>
                <w:b/>
              </w:rPr>
              <w:lastRenderedPageBreak/>
              <w:t>Tieslietu</w:t>
            </w:r>
            <w:r w:rsidRPr="00984006">
              <w:rPr>
                <w:b/>
              </w:rPr>
              <w:t xml:space="preserve"> ministrija</w:t>
            </w:r>
          </w:p>
          <w:p w:rsidR="008F38C1" w:rsidRDefault="008F38C1" w:rsidP="001C1E53">
            <w:pPr>
              <w:jc w:val="both"/>
            </w:pPr>
            <w:r>
              <w:t>Tiesu izpildītāju likuma 45. panta pirmajā daļā noteikts, ka zvērināts tiesu izpildītājs pēc savas iniciatīvas veic visus likumā noteiktos pasākumus un izmanto visus likumā paredzētos līdzekļus un metodes, lai ātri un kvalitatīvi pildītu tiesas un citu institūciju nolēmumus, kā arī veiktu citas sava amata darbības. Ievērojot minēto, zvērinātam tiesu izpildītājam darbības ir jāveic ātri un kvalitatīvi. Normatīvajos aktos noteiktos gadījumos zvērinātam tiesu izpildītājam darbības ir jāveic nekavējoties, piemēram, Civilprocesa likuma 142. panta pirmajā daļā noteikts, ka lēmums par prasības nodrošināšanu un lēmums par prasības nodrošinājuma atcelšanu izpildāms nekavējoties pēc tā pieņemšanas.</w:t>
            </w:r>
          </w:p>
          <w:p w:rsidR="008F38C1" w:rsidRDefault="008F38C1" w:rsidP="001C1E53">
            <w:pPr>
              <w:jc w:val="both"/>
            </w:pPr>
            <w:r>
              <w:tab/>
              <w:t>Saskaņā ar Latvijas Zvērinātu tiesu izpildītāju padomes sniegto informāciju  ir bijuši vairāki datu izplatīšanas tīkla tehniski traucējumi, kad zvērinātiem tiesu izpildītājiem nav bijis iespējams kredītiestādēm dot rīkojumus par naudas apķīlāšanu un rīkojumus par apķīlājuma atcelšanu. Līdz ar to nav pamata uzskatīt, ka nākotnē sistēmas traucējumi nebūs.</w:t>
            </w:r>
          </w:p>
          <w:p w:rsidR="008F38C1" w:rsidRDefault="008F38C1" w:rsidP="001C1E53">
            <w:pPr>
              <w:jc w:val="both"/>
            </w:pPr>
            <w:r>
              <w:t xml:space="preserve">Ievērojot iepriekš minēto, projekta 1.2. un 1.3. apakšpunktā, ar ko tiek veikti </w:t>
            </w:r>
            <w:r>
              <w:lastRenderedPageBreak/>
              <w:t>grozījumi Ministru kabineta 2017. gada 21. marta noteikumu Nr. 167 "Kārtība, kādā veic datu apmaiņu attiecībā uz elektroniski nosūtāmiem rīkojumiem un paziņojumiem par to izpildi" (turpmāk – noteikumi) 15. un 16. punktā, jāparedz iespēja neparedzētos gadījumos, piemēram, sistēmas darbības tehnisku kļūdu vai sistēmas darbības neplānotu pārtraukumu gadījumos, sazināties, izmantojot elektroniskā pasta sūtījumus. Tāpat noteikumi būtu jāpapildina ar jaunu punktu, paredzot, ka gadījumos, kad konstatēts datu izplatīšanas tīkla neplānots pārtraukums vismaz trīs stundas, rīkojumus neplānota pārtraukuma periodā nosūta uz noteikumos norādīto attiecīgā subjekta, dienesta vai zvērināta tiesu izpildītāja elektroniskā pasta adresi.</w:t>
            </w:r>
          </w:p>
          <w:p w:rsidR="008F38C1" w:rsidRDefault="008F38C1" w:rsidP="001C1E53">
            <w:pPr>
              <w:jc w:val="both"/>
            </w:pPr>
            <w:r>
              <w:t xml:space="preserve">Līdz ar to, ja projekts tiek pieņemts Finanšu ministrijas piedāvātajā redakcijā un tehniski ir traucēta datu izplatīšanas tīkla darbība, kad zvērināti tiesu izpildītāji nevar ātri vai nekavējoties kredītiestādēm nosūtīt rīkojumus, šādā gadījumā var tikt radīti zaudējumi kādai personai. Līdz ar to minētajā gadījumā jādomā par to, kurš uzņemsies atbildību par personai radītajiem zaudējumiem. Turklāt, pieņemot grozījumus noteikumos, neparedzot mehānismu situācijā, kad traucēta datu izplatīšanas tīkla darbība un </w:t>
            </w:r>
            <w:r>
              <w:lastRenderedPageBreak/>
              <w:t>nekā savādāk zvērinātiem tiesu izpildītājiem nav iespējams kredītiestādēm nosūtīt rīkojumus, zvērināti tiesu izpildītāji nevar izpildīt normatīvajos aktos noteiktos pienākumus.</w:t>
            </w:r>
          </w:p>
          <w:p w:rsidR="008F38C1" w:rsidRPr="00210F35" w:rsidRDefault="008F38C1" w:rsidP="00281057">
            <w:pPr>
              <w:jc w:val="both"/>
            </w:pPr>
          </w:p>
        </w:tc>
        <w:tc>
          <w:tcPr>
            <w:tcW w:w="3828" w:type="dxa"/>
          </w:tcPr>
          <w:p w:rsidR="008F38C1" w:rsidRDefault="008F38C1" w:rsidP="006B6CC4">
            <w:pPr>
              <w:jc w:val="both"/>
              <w:rPr>
                <w:b/>
              </w:rPr>
            </w:pPr>
            <w:r>
              <w:rPr>
                <w:b/>
              </w:rPr>
              <w:lastRenderedPageBreak/>
              <w:t>Panākta vienošanās</w:t>
            </w:r>
          </w:p>
          <w:p w:rsidR="008F38C1" w:rsidRDefault="008F38C1" w:rsidP="006B6CC4">
            <w:pPr>
              <w:jc w:val="both"/>
              <w:rPr>
                <w:b/>
              </w:rPr>
            </w:pPr>
          </w:p>
          <w:p w:rsidR="008F38C1" w:rsidRPr="001F1C3E" w:rsidRDefault="008F38C1" w:rsidP="006B6CC4">
            <w:pPr>
              <w:jc w:val="both"/>
              <w:rPr>
                <w:b/>
              </w:rPr>
            </w:pPr>
            <w:r>
              <w:rPr>
                <w:b/>
              </w:rPr>
              <w:t>18.septembra starpinstitūciju sanāksmē ir panākta šāda  vienošanās</w:t>
            </w:r>
            <w:r w:rsidRPr="009E3D73">
              <w:t xml:space="preserve"> </w:t>
            </w:r>
            <w:r w:rsidRPr="001F1C3E">
              <w:rPr>
                <w:b/>
              </w:rPr>
              <w:t>par otrā kanāla veidošanu</w:t>
            </w:r>
          </w:p>
          <w:p w:rsidR="008F38C1" w:rsidRDefault="008F38C1" w:rsidP="0058675F">
            <w:pPr>
              <w:jc w:val="both"/>
              <w:rPr>
                <w:rFonts w:eastAsia="Times New Roman" w:cs="Times New Roman"/>
                <w:iCs/>
                <w:szCs w:val="24"/>
                <w:lang w:eastAsia="lv-LV"/>
              </w:rPr>
            </w:pPr>
            <w:r w:rsidRPr="006B6CC4">
              <w:t xml:space="preserve">Sanāksmes </w:t>
            </w:r>
            <w:r>
              <w:t xml:space="preserve">dalībnieki ir uzklausījuši </w:t>
            </w:r>
            <w:r w:rsidRPr="006C62FE">
              <w:rPr>
                <w:rFonts w:eastAsia="Times New Roman" w:cs="Times New Roman"/>
                <w:iCs/>
                <w:szCs w:val="24"/>
                <w:lang w:eastAsia="lv-LV"/>
              </w:rPr>
              <w:t>Valsts reģionālās attīstības aģentūras (turpmāk – VRAA)</w:t>
            </w:r>
            <w:r>
              <w:rPr>
                <w:rFonts w:eastAsia="Times New Roman" w:cs="Times New Roman"/>
                <w:iCs/>
                <w:szCs w:val="24"/>
                <w:lang w:eastAsia="lv-LV"/>
              </w:rPr>
              <w:t>, kuras</w:t>
            </w:r>
            <w:r w:rsidRPr="006C62FE">
              <w:rPr>
                <w:rFonts w:eastAsia="Times New Roman" w:cs="Times New Roman"/>
                <w:iCs/>
                <w:szCs w:val="24"/>
                <w:lang w:eastAsia="lv-LV"/>
              </w:rPr>
              <w:t xml:space="preserve"> pārziņā </w:t>
            </w:r>
            <w:r>
              <w:rPr>
                <w:rFonts w:eastAsia="Times New Roman" w:cs="Times New Roman"/>
                <w:iCs/>
                <w:szCs w:val="24"/>
                <w:lang w:eastAsia="lv-LV"/>
              </w:rPr>
              <w:t>ir</w:t>
            </w:r>
            <w:r w:rsidRPr="006C62FE">
              <w:rPr>
                <w:rFonts w:eastAsia="Times New Roman" w:cs="Times New Roman"/>
                <w:iCs/>
                <w:szCs w:val="24"/>
                <w:lang w:eastAsia="lv-LV"/>
              </w:rPr>
              <w:t xml:space="preserve"> Valsts informācijas sistēm</w:t>
            </w:r>
            <w:r>
              <w:rPr>
                <w:rFonts w:eastAsia="Times New Roman" w:cs="Times New Roman"/>
                <w:iCs/>
                <w:szCs w:val="24"/>
                <w:lang w:eastAsia="lv-LV"/>
              </w:rPr>
              <w:t xml:space="preserve">u </w:t>
            </w:r>
            <w:proofErr w:type="spellStart"/>
            <w:r>
              <w:rPr>
                <w:rFonts w:eastAsia="Times New Roman" w:cs="Times New Roman"/>
                <w:iCs/>
                <w:szCs w:val="24"/>
                <w:lang w:eastAsia="lv-LV"/>
              </w:rPr>
              <w:t>savietotājs</w:t>
            </w:r>
            <w:proofErr w:type="spellEnd"/>
            <w:r>
              <w:rPr>
                <w:rFonts w:eastAsia="Times New Roman" w:cs="Times New Roman"/>
                <w:iCs/>
                <w:szCs w:val="24"/>
                <w:lang w:eastAsia="lv-LV"/>
              </w:rPr>
              <w:t xml:space="preserve"> (t.sk. koplietošanas daļa</w:t>
            </w:r>
            <w:r w:rsidRPr="006C62FE">
              <w:rPr>
                <w:rFonts w:eastAsia="Times New Roman" w:cs="Times New Roman"/>
                <w:iCs/>
                <w:szCs w:val="24"/>
                <w:lang w:eastAsia="lv-LV"/>
              </w:rPr>
              <w:t xml:space="preserve"> “Datu izplatīšanas tīkls” (turpmāk – DIT)</w:t>
            </w:r>
            <w:r>
              <w:rPr>
                <w:rFonts w:eastAsia="Times New Roman" w:cs="Times New Roman"/>
                <w:iCs/>
                <w:szCs w:val="24"/>
                <w:lang w:eastAsia="lv-LV"/>
              </w:rPr>
              <w:t>),</w:t>
            </w:r>
            <w:r w:rsidRPr="006B6CC4">
              <w:t xml:space="preserve"> </w:t>
            </w:r>
            <w:r>
              <w:rPr>
                <w:rFonts w:eastAsia="Times New Roman" w:cs="Times New Roman"/>
                <w:iCs/>
                <w:szCs w:val="24"/>
                <w:lang w:eastAsia="lv-LV"/>
              </w:rPr>
              <w:t>pārstāvja informāciju par konstatētajām problēmām, to iemesliem, kā arī nākotnes plāniem iespējamo problēmu novēršanai (tuvākajā laikā tiks atjaunota DIT versija - būs alternatīvais variants informācijas nodošanai pašā DIT kanālā). Turklāt VRAA speciālisti nodrošinās iespēju IP adrešu maiņas gadījumā informēt par to DIT lietotājus, nosūtot e-pastu uz lietotāja reģistrēšanas laikā sniegto elektronisko adresi.</w:t>
            </w:r>
          </w:p>
          <w:p w:rsidR="008F38C1" w:rsidRDefault="008F38C1" w:rsidP="00447209">
            <w:pPr>
              <w:jc w:val="both"/>
              <w:rPr>
                <w:rFonts w:eastAsia="Times New Roman" w:cs="Times New Roman"/>
                <w:iCs/>
                <w:szCs w:val="24"/>
                <w:lang w:eastAsia="lv-LV"/>
              </w:rPr>
            </w:pPr>
            <w:r>
              <w:rPr>
                <w:rFonts w:eastAsia="Times New Roman" w:cs="Times New Roman"/>
                <w:iCs/>
                <w:szCs w:val="24"/>
                <w:lang w:eastAsia="lv-LV"/>
              </w:rPr>
              <w:t xml:space="preserve">Sanāksmes dalībnieki vienojās, ka, ņemot vērā Kredītiestāžu likumā un likumā “Par nodokļiem un nodevām noteikto regulējumu (līdz ar to iepriekš panāktās vienošanās), VRAA </w:t>
            </w:r>
            <w:r>
              <w:rPr>
                <w:rFonts w:eastAsia="Times New Roman" w:cs="Times New Roman"/>
                <w:iCs/>
                <w:szCs w:val="24"/>
                <w:lang w:eastAsia="lv-LV"/>
              </w:rPr>
              <w:lastRenderedPageBreak/>
              <w:t>sniegto informāciju, kā arī augstos kritērijus sistēmas darbībai, otrs kanāls rīkojumu paziņošanai netiks veidots. Sistēmas pārziņiem ir jābūt spējīgiem nodrošināt sistēmas (attiecīgas daļas) darbību atbilstoši noteiktajām prasībām un risināt jebkuras problēmas ne ilgāk kā 24 stundu laikā (izņemot nepārvaramas varas gadījumus). Ja problēmu nav iespējams atrisināt minētajā termiņā, situācija ir uzskatāma par ārkārtas gadījumu, kas risināms, iesaistot visas DIT darbībā iesaistītās puses, nepieciešamības gadījumā iesaistot arī Finanšu ministriju, Tieslietu ministriju un</w:t>
            </w:r>
            <w:r>
              <w:t xml:space="preserve"> </w:t>
            </w:r>
            <w:r w:rsidRPr="00DC4E69">
              <w:rPr>
                <w:rFonts w:eastAsia="Times New Roman" w:cs="Times New Roman"/>
                <w:iCs/>
                <w:szCs w:val="24"/>
                <w:lang w:eastAsia="lv-LV"/>
              </w:rPr>
              <w:t xml:space="preserve">Vides aizsardzības un </w:t>
            </w:r>
            <w:r>
              <w:rPr>
                <w:rFonts w:eastAsia="Times New Roman" w:cs="Times New Roman"/>
                <w:iCs/>
                <w:szCs w:val="24"/>
                <w:lang w:eastAsia="lv-LV"/>
              </w:rPr>
              <w:t>reģionālās attīstības ministriju. Turklāt dalībnieki vienojās, ka virzīt grozījumus, ar kuriem būtu nosakāma rīcība ārkārtas situācijā, pašlaik nav lietderīgi.</w:t>
            </w: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Default="008F38C1" w:rsidP="00447209">
            <w:pPr>
              <w:jc w:val="both"/>
              <w:rPr>
                <w:rFonts w:eastAsia="Times New Roman" w:cs="Times New Roman"/>
                <w:iCs/>
                <w:szCs w:val="24"/>
                <w:lang w:eastAsia="lv-LV"/>
              </w:rPr>
            </w:pPr>
          </w:p>
          <w:p w:rsidR="008F38C1" w:rsidRPr="001F1C3E" w:rsidRDefault="008F38C1" w:rsidP="00281057">
            <w:pPr>
              <w:jc w:val="both"/>
              <w:rPr>
                <w:b/>
              </w:rPr>
            </w:pPr>
          </w:p>
        </w:tc>
        <w:tc>
          <w:tcPr>
            <w:tcW w:w="3686" w:type="dxa"/>
            <w:vMerge w:val="restart"/>
          </w:tcPr>
          <w:p w:rsidR="008F38C1" w:rsidRDefault="008F38C1" w:rsidP="00CE0C3A">
            <w:pPr>
              <w:pStyle w:val="CommentText"/>
              <w:ind w:firstLine="184"/>
              <w:jc w:val="both"/>
              <w:rPr>
                <w:b/>
                <w:sz w:val="24"/>
                <w:szCs w:val="24"/>
              </w:rPr>
            </w:pPr>
            <w:r>
              <w:rPr>
                <w:b/>
                <w:sz w:val="24"/>
                <w:szCs w:val="24"/>
              </w:rPr>
              <w:lastRenderedPageBreak/>
              <w:t>Noteikumu projekta 1.3.</w:t>
            </w:r>
            <w:r w:rsidRPr="002A11E4">
              <w:rPr>
                <w:b/>
                <w:sz w:val="24"/>
                <w:szCs w:val="24"/>
              </w:rPr>
              <w:t xml:space="preserve"> un 1.</w:t>
            </w:r>
            <w:r>
              <w:rPr>
                <w:b/>
                <w:sz w:val="24"/>
                <w:szCs w:val="24"/>
              </w:rPr>
              <w:t>4.</w:t>
            </w:r>
            <w:r w:rsidRPr="002A11E4">
              <w:rPr>
                <w:b/>
                <w:sz w:val="24"/>
                <w:szCs w:val="24"/>
              </w:rPr>
              <w:t>apakšpunkts</w:t>
            </w:r>
          </w:p>
          <w:p w:rsidR="008F38C1" w:rsidRDefault="008F38C1" w:rsidP="00EB0558">
            <w:pPr>
              <w:jc w:val="both"/>
            </w:pPr>
            <w:r>
              <w:t>1.3. aizstāt 15.punktā vārdu “paziņo” ar vārdiem “elektroniski paziņo”, vārdus un skaitli “saņemšanas, izmantojot šo noteikumu 7.2.apakšpunktā minēto elektroniskā pasta adresi” ar vārdu “saņemšanas” un vārdus “rīkojuma saturs” ar vārdiem “paziņojuma saturs”;</w:t>
            </w:r>
          </w:p>
          <w:p w:rsidR="008F38C1" w:rsidRDefault="008F38C1" w:rsidP="00EB0558">
            <w:pPr>
              <w:jc w:val="both"/>
            </w:pPr>
          </w:p>
          <w:p w:rsidR="008F38C1" w:rsidRDefault="008F38C1" w:rsidP="00EB0558">
            <w:pPr>
              <w:jc w:val="both"/>
            </w:pPr>
            <w:r>
              <w:t>1.4. izteikt 16.punktu šādā redakcijā:</w:t>
            </w:r>
          </w:p>
          <w:p w:rsidR="008F38C1" w:rsidRPr="00CE0C3A" w:rsidRDefault="008F38C1" w:rsidP="009C2458">
            <w:pPr>
              <w:jc w:val="both"/>
            </w:pPr>
            <w:r>
              <w:t>“16. Subjekts, konstatējot satura neatbilstības dienesta vai zvērināta tiesu izpildītāja rīkojumā, kas liedz apstrādāt saņemto informāciju vai identificēt personu, vienas darbdienas laikā ievieto datu izplatīšanas tīkla kanālā paziņojumu par konstatēto neatbilstību (atbilstoši XML shēmu struktūrai) konkrētā rīkojuma dēvējam.”;</w:t>
            </w:r>
          </w:p>
        </w:tc>
      </w:tr>
      <w:tr w:rsidR="008F38C1" w:rsidRPr="00984006" w:rsidTr="00BA0343">
        <w:tc>
          <w:tcPr>
            <w:tcW w:w="576" w:type="dxa"/>
          </w:tcPr>
          <w:p w:rsidR="008F38C1" w:rsidRDefault="008F38C1" w:rsidP="00634435">
            <w:r>
              <w:lastRenderedPageBreak/>
              <w:t>2</w:t>
            </w:r>
          </w:p>
        </w:tc>
        <w:tc>
          <w:tcPr>
            <w:tcW w:w="2963" w:type="dxa"/>
            <w:vMerge/>
          </w:tcPr>
          <w:p w:rsidR="008F38C1" w:rsidRPr="002A11E4" w:rsidRDefault="008F38C1" w:rsidP="00634435">
            <w:pPr>
              <w:pStyle w:val="CommentText"/>
              <w:ind w:firstLine="184"/>
              <w:jc w:val="both"/>
              <w:rPr>
                <w:b/>
                <w:sz w:val="24"/>
                <w:szCs w:val="24"/>
              </w:rPr>
            </w:pPr>
          </w:p>
        </w:tc>
        <w:tc>
          <w:tcPr>
            <w:tcW w:w="4252" w:type="dxa"/>
          </w:tcPr>
          <w:p w:rsidR="008F38C1" w:rsidRDefault="008F38C1" w:rsidP="00281057">
            <w:pPr>
              <w:jc w:val="both"/>
              <w:rPr>
                <w:b/>
              </w:rPr>
            </w:pPr>
            <w:r w:rsidRPr="00571769">
              <w:rPr>
                <w:b/>
              </w:rPr>
              <w:t>Tiesu administrācija</w:t>
            </w:r>
            <w:r>
              <w:rPr>
                <w:b/>
              </w:rPr>
              <w:t xml:space="preserve"> (sanāksmes laikā izteiktais iebildums)</w:t>
            </w:r>
          </w:p>
          <w:p w:rsidR="008F38C1" w:rsidRDefault="008F38C1" w:rsidP="00281057">
            <w:pPr>
              <w:jc w:val="both"/>
            </w:pPr>
            <w:r>
              <w:t>TA uzskata par nelietderīgu veidot atgriezenisko saikni pēc tam, kad ir saņemts kļūdu kods, proti, kļūdu koda saņēmējam jānovērš konstatētā neatbilstība termiņā, kuru paredz ārējais normatīvais akts (KIL, CPL, NNL). Līdz ar to ir svītrojams Noteikumu 16.punkta otrais teikums.</w:t>
            </w:r>
          </w:p>
          <w:p w:rsidR="008F38C1" w:rsidRDefault="008F38C1" w:rsidP="00634435">
            <w:pPr>
              <w:jc w:val="both"/>
              <w:rPr>
                <w:b/>
              </w:rPr>
            </w:pPr>
          </w:p>
        </w:tc>
        <w:tc>
          <w:tcPr>
            <w:tcW w:w="3828" w:type="dxa"/>
          </w:tcPr>
          <w:p w:rsidR="008F38C1" w:rsidRDefault="008F38C1" w:rsidP="00281057">
            <w:pPr>
              <w:jc w:val="both"/>
              <w:rPr>
                <w:b/>
              </w:rPr>
            </w:pPr>
            <w:r>
              <w:rPr>
                <w:b/>
              </w:rPr>
              <w:t>Panākta vienošanās</w:t>
            </w:r>
          </w:p>
          <w:p w:rsidR="008F38C1" w:rsidRDefault="008F38C1" w:rsidP="00281057">
            <w:pPr>
              <w:jc w:val="both"/>
              <w:rPr>
                <w:b/>
              </w:rPr>
            </w:pPr>
          </w:p>
          <w:p w:rsidR="008F38C1" w:rsidRPr="00741FBD" w:rsidRDefault="008F38C1" w:rsidP="00281057">
            <w:pPr>
              <w:jc w:val="both"/>
              <w:rPr>
                <w:rFonts w:eastAsia="Times New Roman" w:cs="Times New Roman"/>
                <w:iCs/>
                <w:szCs w:val="24"/>
                <w:u w:val="single"/>
                <w:lang w:eastAsia="lv-LV"/>
              </w:rPr>
            </w:pPr>
            <w:r>
              <w:rPr>
                <w:b/>
              </w:rPr>
              <w:t>18.septembra starpinstitūciju sanāksmē ir panākta šāda  vienošanās:</w:t>
            </w:r>
            <w:r w:rsidRPr="009E3D73">
              <w:t xml:space="preserve"> </w:t>
            </w:r>
            <w:r w:rsidRPr="001F1C3E">
              <w:rPr>
                <w:rFonts w:eastAsia="Times New Roman" w:cs="Times New Roman"/>
                <w:b/>
                <w:iCs/>
                <w:szCs w:val="24"/>
                <w:lang w:eastAsia="lv-LV"/>
              </w:rPr>
              <w:t>par rīcību pēc kļūdu koda saņemšanas</w:t>
            </w:r>
          </w:p>
          <w:p w:rsidR="008F38C1" w:rsidRDefault="008F38C1" w:rsidP="00281057">
            <w:pPr>
              <w:jc w:val="both"/>
              <w:rPr>
                <w:rFonts w:eastAsia="Times New Roman" w:cs="Times New Roman"/>
                <w:iCs/>
                <w:szCs w:val="24"/>
                <w:lang w:eastAsia="lv-LV"/>
              </w:rPr>
            </w:pPr>
            <w:r>
              <w:rPr>
                <w:rFonts w:eastAsia="Times New Roman" w:cs="Times New Roman"/>
                <w:iCs/>
                <w:szCs w:val="24"/>
                <w:lang w:eastAsia="lv-LV"/>
              </w:rPr>
              <w:t>Diskusijas rezultātā dalībnieki vienojās:</w:t>
            </w:r>
          </w:p>
          <w:p w:rsidR="008F38C1" w:rsidRDefault="008F38C1" w:rsidP="00281057">
            <w:pPr>
              <w:jc w:val="both"/>
              <w:rPr>
                <w:rFonts w:eastAsia="Times New Roman" w:cs="Times New Roman"/>
                <w:iCs/>
                <w:szCs w:val="24"/>
                <w:lang w:eastAsia="lv-LV"/>
              </w:rPr>
            </w:pPr>
            <w:r>
              <w:rPr>
                <w:rFonts w:eastAsia="Times New Roman" w:cs="Times New Roman"/>
                <w:iCs/>
                <w:szCs w:val="24"/>
                <w:lang w:eastAsia="lv-LV"/>
              </w:rPr>
              <w:t xml:space="preserve">- paziņojuma “kļūdu kods” saņemšana liecina par to, ka rīkojumā ir konstatēta satura neatbilstība un kredītiestāde šādu rīkojumu nav pieņēmusi izpildei. Dienestam un zvērinātiem tiesu izpildītājiem saņemot šādu kļūdu kodu, ievērojot normatīvajos aktos noteikto termiņu rīkojuma paziņošanai, jānovērš attiecīga neatbilstība. Gadījumā, ja rīkojuma devējs nenovērš satura neatbilstību rīkojuma par naudas līdzekļu pārskaitīšanu paziņošanai noteiktajā termiņā, tam jārēķinās ar sekām saistībā ar konta atbrīvošanu </w:t>
            </w:r>
            <w:r>
              <w:rPr>
                <w:rFonts w:eastAsia="Times New Roman" w:cs="Times New Roman"/>
                <w:iCs/>
                <w:szCs w:val="24"/>
                <w:lang w:eastAsia="lv-LV"/>
              </w:rPr>
              <w:lastRenderedPageBreak/>
              <w:t xml:space="preserve">no apķīlāšanas. Gadījumā, ja rīkojuma devējs nenovērš satura neatbilstību, kas konstatēta precizējošā rīkojumā, tam jārēķinās ar sekām, ka precizējošais rīkojums nav pieņemts izpildei un nav saistošs kredītiestādei </w:t>
            </w:r>
            <w:r w:rsidRPr="003E22E1">
              <w:rPr>
                <w:rFonts w:eastAsia="Times New Roman" w:cs="Times New Roman"/>
                <w:iCs/>
                <w:szCs w:val="24"/>
                <w:lang w:eastAsia="lv-LV"/>
              </w:rPr>
              <w:t>(</w:t>
            </w:r>
            <w:r>
              <w:rPr>
                <w:rFonts w:eastAsia="Times New Roman" w:cs="Times New Roman"/>
                <w:iCs/>
                <w:szCs w:val="24"/>
                <w:lang w:eastAsia="lv-LV"/>
              </w:rPr>
              <w:t xml:space="preserve">detalizētāka </w:t>
            </w:r>
            <w:r w:rsidRPr="003E22E1">
              <w:rPr>
                <w:rFonts w:eastAsia="Times New Roman" w:cs="Times New Roman"/>
                <w:iCs/>
                <w:szCs w:val="24"/>
                <w:lang w:eastAsia="lv-LV"/>
              </w:rPr>
              <w:t xml:space="preserve"> </w:t>
            </w:r>
            <w:r>
              <w:rPr>
                <w:rFonts w:eastAsia="Times New Roman" w:cs="Times New Roman"/>
                <w:iCs/>
                <w:szCs w:val="24"/>
                <w:lang w:eastAsia="lv-LV"/>
              </w:rPr>
              <w:t xml:space="preserve">informācija </w:t>
            </w:r>
            <w:r w:rsidRPr="003E22E1">
              <w:rPr>
                <w:rFonts w:eastAsia="Times New Roman" w:cs="Times New Roman"/>
                <w:iCs/>
                <w:szCs w:val="24"/>
                <w:lang w:eastAsia="lv-LV"/>
              </w:rPr>
              <w:t xml:space="preserve">par kļūdu kodiem izziņas </w:t>
            </w:r>
            <w:r>
              <w:rPr>
                <w:rFonts w:eastAsia="Times New Roman" w:cs="Times New Roman"/>
                <w:iCs/>
                <w:szCs w:val="24"/>
                <w:lang w:eastAsia="lv-LV"/>
              </w:rPr>
              <w:t>1</w:t>
            </w:r>
            <w:r w:rsidR="00D87281">
              <w:rPr>
                <w:rFonts w:eastAsia="Times New Roman" w:cs="Times New Roman"/>
                <w:iCs/>
                <w:szCs w:val="24"/>
                <w:lang w:eastAsia="lv-LV"/>
              </w:rPr>
              <w:t>3</w:t>
            </w:r>
            <w:r w:rsidRPr="003E22E1">
              <w:rPr>
                <w:rFonts w:eastAsia="Times New Roman" w:cs="Times New Roman"/>
                <w:iCs/>
                <w:szCs w:val="24"/>
                <w:lang w:eastAsia="lv-LV"/>
              </w:rPr>
              <w:t>.punkt</w:t>
            </w:r>
            <w:r>
              <w:rPr>
                <w:rFonts w:eastAsia="Times New Roman" w:cs="Times New Roman"/>
                <w:iCs/>
                <w:szCs w:val="24"/>
                <w:lang w:eastAsia="lv-LV"/>
              </w:rPr>
              <w:t>ā</w:t>
            </w:r>
            <w:r w:rsidRPr="003E22E1">
              <w:rPr>
                <w:rFonts w:eastAsia="Times New Roman" w:cs="Times New Roman"/>
                <w:iCs/>
                <w:szCs w:val="24"/>
                <w:lang w:eastAsia="lv-LV"/>
              </w:rPr>
              <w:t>).</w:t>
            </w:r>
          </w:p>
          <w:p w:rsidR="008F38C1" w:rsidRDefault="008F38C1" w:rsidP="00281057">
            <w:pPr>
              <w:jc w:val="both"/>
              <w:rPr>
                <w:lang w:eastAsia="lv-LV"/>
              </w:rPr>
            </w:pPr>
            <w:r w:rsidRPr="00EC43F6">
              <w:rPr>
                <w:lang w:eastAsia="lv-LV"/>
              </w:rPr>
              <w:t xml:space="preserve">Savukārt attiecībā uz satura neatbilstību, kas konstatēta Subjektu paziņojumos par rīkojumu izpildi, paziņošanu pašlaik ir saglabājama spēkā esošā kārtība. </w:t>
            </w:r>
          </w:p>
          <w:p w:rsidR="008F38C1" w:rsidRDefault="008F38C1" w:rsidP="003339BA">
            <w:pPr>
              <w:jc w:val="both"/>
              <w:rPr>
                <w:b/>
              </w:rPr>
            </w:pPr>
          </w:p>
        </w:tc>
        <w:tc>
          <w:tcPr>
            <w:tcW w:w="3686" w:type="dxa"/>
            <w:vMerge/>
          </w:tcPr>
          <w:p w:rsidR="008F38C1" w:rsidRPr="002A11E4" w:rsidRDefault="008F38C1" w:rsidP="002D46E3">
            <w:pPr>
              <w:pStyle w:val="CommentText"/>
              <w:ind w:firstLine="184"/>
              <w:jc w:val="both"/>
              <w:rPr>
                <w:b/>
                <w:sz w:val="24"/>
                <w:szCs w:val="24"/>
              </w:rPr>
            </w:pPr>
          </w:p>
        </w:tc>
      </w:tr>
      <w:tr w:rsidR="008F38C1" w:rsidRPr="00984006" w:rsidTr="00BA0343">
        <w:tc>
          <w:tcPr>
            <w:tcW w:w="576" w:type="dxa"/>
          </w:tcPr>
          <w:p w:rsidR="008F38C1" w:rsidRDefault="008F38C1" w:rsidP="00634435">
            <w:r>
              <w:t>3</w:t>
            </w:r>
          </w:p>
        </w:tc>
        <w:tc>
          <w:tcPr>
            <w:tcW w:w="2963" w:type="dxa"/>
            <w:vMerge/>
          </w:tcPr>
          <w:p w:rsidR="008F38C1" w:rsidRPr="002A11E4" w:rsidRDefault="008F38C1" w:rsidP="00634435">
            <w:pPr>
              <w:pStyle w:val="CommentText"/>
              <w:ind w:firstLine="184"/>
              <w:jc w:val="both"/>
              <w:rPr>
                <w:b/>
                <w:sz w:val="24"/>
                <w:szCs w:val="24"/>
              </w:rPr>
            </w:pPr>
          </w:p>
        </w:tc>
        <w:tc>
          <w:tcPr>
            <w:tcW w:w="4252" w:type="dxa"/>
          </w:tcPr>
          <w:p w:rsidR="008F38C1" w:rsidRDefault="008F38C1" w:rsidP="00281057">
            <w:pPr>
              <w:jc w:val="both"/>
              <w:rPr>
                <w:b/>
              </w:rPr>
            </w:pPr>
            <w:r w:rsidRPr="009F0889">
              <w:rPr>
                <w:b/>
                <w:bCs/>
              </w:rPr>
              <w:t>Tiesu administrācija</w:t>
            </w:r>
            <w:r>
              <w:rPr>
                <w:b/>
                <w:bCs/>
              </w:rPr>
              <w:t xml:space="preserve"> </w:t>
            </w:r>
            <w:r>
              <w:rPr>
                <w:b/>
              </w:rPr>
              <w:t>(elektroniskās saskaņošanas (18.09.2019) laikā izteiktais iebildums)</w:t>
            </w:r>
          </w:p>
          <w:p w:rsidR="008F38C1" w:rsidRDefault="008F38C1" w:rsidP="00281057">
            <w:pPr>
              <w:jc w:val="both"/>
            </w:pPr>
            <w:r>
              <w:t xml:space="preserve">Sanāksmē Tiesu administrācija sniedza viedokli, ka uzskata par nelietderīgu veidot atgriezenisko saikni pēc tam, kad ir saņemts paziņojums no iestādes (atbilde ar kļūdu kodu), tāpēc ir svītrojams Noteikumu 16.punkta otrais teikums. Taču tāpat arī sanāksmē Tiesu administrācija sniedza viedokli, ka Noteikumu 15.punktu nav nepieciešams mainīt, jo iestādes (bankas) reti nosūta caur DIT kļūdainu paziņojumu zvērinātiem tiesu izpildītājiem, kā arī Noteikumu projektā norādītās izmaiņas 15.punktā radītu papildus slogu veikt </w:t>
            </w:r>
            <w:r>
              <w:lastRenderedPageBreak/>
              <w:t xml:space="preserve">sistēmas izmaiņas Izpildu lietu reģistrā, kā arī iestāžu sistēmās, lai apstrādātu šādu zvērinātu tiesu izpildītāju sniegto informāciju caur DIT. Tāpēc Tiesu administrācijas ieskatā ir saglabājama kārtība, kāda šobrīd ir noteikta Noteikumu 15.punktā, kas nosaka, ka zvērināts tiesu izpildītājs sazinās ar iestādi ar elektroniskā pasta palīdzību, informējot par kļūdu paziņojumā. </w:t>
            </w:r>
          </w:p>
          <w:p w:rsidR="008F38C1" w:rsidRDefault="008F38C1" w:rsidP="00634435">
            <w:pPr>
              <w:jc w:val="both"/>
              <w:rPr>
                <w:b/>
              </w:rPr>
            </w:pPr>
          </w:p>
        </w:tc>
        <w:tc>
          <w:tcPr>
            <w:tcW w:w="3828" w:type="dxa"/>
          </w:tcPr>
          <w:p w:rsidR="008F38C1" w:rsidRDefault="008F38C1" w:rsidP="00281057">
            <w:pPr>
              <w:jc w:val="both"/>
              <w:rPr>
                <w:b/>
                <w:lang w:eastAsia="lv-LV"/>
              </w:rPr>
            </w:pPr>
            <w:r w:rsidRPr="001F1C3E">
              <w:rPr>
                <w:b/>
                <w:lang w:eastAsia="lv-LV"/>
              </w:rPr>
              <w:lastRenderedPageBreak/>
              <w:t>Ņemts vērā</w:t>
            </w:r>
          </w:p>
          <w:p w:rsidR="008F38C1" w:rsidRDefault="008F38C1" w:rsidP="003339BA">
            <w:pPr>
              <w:jc w:val="both"/>
              <w:rPr>
                <w:b/>
              </w:rPr>
            </w:pPr>
          </w:p>
        </w:tc>
        <w:tc>
          <w:tcPr>
            <w:tcW w:w="3686" w:type="dxa"/>
            <w:vMerge/>
          </w:tcPr>
          <w:p w:rsidR="008F38C1" w:rsidRPr="002A11E4" w:rsidRDefault="008F38C1" w:rsidP="002D46E3">
            <w:pPr>
              <w:pStyle w:val="CommentText"/>
              <w:ind w:firstLine="184"/>
              <w:jc w:val="both"/>
              <w:rPr>
                <w:b/>
                <w:sz w:val="24"/>
                <w:szCs w:val="24"/>
              </w:rPr>
            </w:pPr>
          </w:p>
        </w:tc>
      </w:tr>
      <w:tr w:rsidR="008F38C1" w:rsidRPr="00984006" w:rsidTr="00BA0343">
        <w:tc>
          <w:tcPr>
            <w:tcW w:w="576" w:type="dxa"/>
          </w:tcPr>
          <w:p w:rsidR="008F38C1" w:rsidRDefault="008F38C1" w:rsidP="00634435">
            <w:r>
              <w:t>4</w:t>
            </w:r>
          </w:p>
        </w:tc>
        <w:tc>
          <w:tcPr>
            <w:tcW w:w="2963" w:type="dxa"/>
            <w:vMerge/>
          </w:tcPr>
          <w:p w:rsidR="008F38C1" w:rsidRPr="002A11E4" w:rsidRDefault="008F38C1" w:rsidP="00634435">
            <w:pPr>
              <w:pStyle w:val="CommentText"/>
              <w:ind w:firstLine="184"/>
              <w:jc w:val="both"/>
              <w:rPr>
                <w:b/>
                <w:sz w:val="24"/>
                <w:szCs w:val="24"/>
              </w:rPr>
            </w:pPr>
          </w:p>
        </w:tc>
        <w:tc>
          <w:tcPr>
            <w:tcW w:w="4252" w:type="dxa"/>
          </w:tcPr>
          <w:p w:rsidR="008F38C1" w:rsidRDefault="008F38C1" w:rsidP="00281057">
            <w:pPr>
              <w:jc w:val="both"/>
              <w:rPr>
                <w:b/>
              </w:rPr>
            </w:pPr>
            <w:r w:rsidRPr="009F0889">
              <w:rPr>
                <w:b/>
                <w:bCs/>
              </w:rPr>
              <w:t>Tiesu administrācija</w:t>
            </w:r>
            <w:r>
              <w:rPr>
                <w:b/>
                <w:bCs/>
              </w:rPr>
              <w:t xml:space="preserve"> </w:t>
            </w:r>
            <w:r>
              <w:rPr>
                <w:b/>
              </w:rPr>
              <w:t>(elektroniskās saskaņošanas (18.09.2019) laikā izteiktais iebildums)</w:t>
            </w:r>
          </w:p>
          <w:p w:rsidR="008F38C1" w:rsidRDefault="008F38C1" w:rsidP="00281057">
            <w:pPr>
              <w:jc w:val="both"/>
            </w:pPr>
            <w:r>
              <w:t xml:space="preserve">Pēc sanāksmes Tiesu administrācija papildus konstatēja nepieciešamību aizstāt Noteikumu 15.punktā vārdus un skaitli "šo noteikumu 7.2. apakšpunktā minēto elektroniskā pasta adresi" ar vārdiem "subjekta tīmekļvietnē publicēto elektroniskā pasta adresi", jo zvērinātiem tiesu izpildītājiem nav zināmas Noteikumu 7.2. punktā Tiesu administrācijai ar iesniegumiem iesniegtās iestāžu elektroniskās pasta adreses, kā arī šajos iesniegumos norādītās elektroniskās pasta adreses ir paredzētas Tiesu administrācijai biznesa jautājumu risināšanai saistībā ar DIT, nevis informācijas sniegšanai zvērinātiem tiesu izpildītājiem par rīkojumu izpildi. </w:t>
            </w:r>
          </w:p>
          <w:p w:rsidR="008F38C1" w:rsidRDefault="008F38C1" w:rsidP="00281057">
            <w:pPr>
              <w:jc w:val="both"/>
              <w:rPr>
                <w:b/>
              </w:rPr>
            </w:pPr>
            <w:r>
              <w:lastRenderedPageBreak/>
              <w:t xml:space="preserve">Kā arī 15.punktā nepieciešams labot vārdus "rīkojuma saturs ir korekts" uz "paziņojuma saturs ir korekts", jo subjekti (iestādes) </w:t>
            </w:r>
            <w:proofErr w:type="spellStart"/>
            <w:r>
              <w:t>nesūta</w:t>
            </w:r>
            <w:proofErr w:type="spellEnd"/>
            <w:r>
              <w:t xml:space="preserve"> dienestam vai zvērinātiem tiesu izpildītājiem rīkojumus, bet paziņojumus (atbildes) uz šiem rīkojumiem. Attiecīgi, ievērojot Tiesu administrācijas norādīto, lūdzu mainīt Noteikumu 15.punktu šīs izziņas 6.ailē norādītajā redakcijā.</w:t>
            </w:r>
          </w:p>
        </w:tc>
        <w:tc>
          <w:tcPr>
            <w:tcW w:w="3828" w:type="dxa"/>
          </w:tcPr>
          <w:p w:rsidR="008F38C1" w:rsidRDefault="008F38C1" w:rsidP="003339BA">
            <w:pPr>
              <w:jc w:val="both"/>
              <w:rPr>
                <w:b/>
              </w:rPr>
            </w:pPr>
            <w:r w:rsidRPr="001A3F07">
              <w:rPr>
                <w:b/>
                <w:lang w:eastAsia="lv-LV"/>
              </w:rPr>
              <w:lastRenderedPageBreak/>
              <w:t>Ņemts vērā</w:t>
            </w:r>
          </w:p>
        </w:tc>
        <w:tc>
          <w:tcPr>
            <w:tcW w:w="3686" w:type="dxa"/>
            <w:vMerge/>
          </w:tcPr>
          <w:p w:rsidR="008F38C1" w:rsidRPr="002A11E4" w:rsidRDefault="008F38C1" w:rsidP="002D46E3">
            <w:pPr>
              <w:pStyle w:val="CommentText"/>
              <w:ind w:firstLine="184"/>
              <w:jc w:val="both"/>
              <w:rPr>
                <w:b/>
                <w:sz w:val="24"/>
                <w:szCs w:val="24"/>
              </w:rPr>
            </w:pPr>
          </w:p>
        </w:tc>
      </w:tr>
      <w:tr w:rsidR="008F38C1" w:rsidRPr="00984006" w:rsidTr="00BA0343">
        <w:tc>
          <w:tcPr>
            <w:tcW w:w="576" w:type="dxa"/>
          </w:tcPr>
          <w:p w:rsidR="008F38C1" w:rsidRDefault="008F38C1" w:rsidP="00634435">
            <w:r>
              <w:t>5</w:t>
            </w:r>
          </w:p>
        </w:tc>
        <w:tc>
          <w:tcPr>
            <w:tcW w:w="2963" w:type="dxa"/>
            <w:vMerge/>
          </w:tcPr>
          <w:p w:rsidR="008F38C1" w:rsidRPr="002A11E4" w:rsidRDefault="008F38C1" w:rsidP="00634435">
            <w:pPr>
              <w:pStyle w:val="CommentText"/>
              <w:ind w:firstLine="184"/>
              <w:jc w:val="both"/>
              <w:rPr>
                <w:b/>
                <w:sz w:val="24"/>
                <w:szCs w:val="24"/>
              </w:rPr>
            </w:pPr>
          </w:p>
        </w:tc>
        <w:tc>
          <w:tcPr>
            <w:tcW w:w="4252" w:type="dxa"/>
          </w:tcPr>
          <w:p w:rsidR="008F38C1" w:rsidRDefault="008F38C1" w:rsidP="00AB76C2">
            <w:pPr>
              <w:jc w:val="both"/>
              <w:rPr>
                <w:b/>
              </w:rPr>
            </w:pPr>
            <w:r>
              <w:rPr>
                <w:b/>
                <w:bCs/>
              </w:rPr>
              <w:t xml:space="preserve">VARAM </w:t>
            </w:r>
            <w:r>
              <w:rPr>
                <w:b/>
              </w:rPr>
              <w:t>(elektroniskās saskaņošanas (25.10.2019) laikā izteiktais iebildums)</w:t>
            </w:r>
          </w:p>
          <w:p w:rsidR="008F38C1" w:rsidRPr="00AB76C2" w:rsidRDefault="008F38C1" w:rsidP="00AB76C2">
            <w:pPr>
              <w:widowControl w:val="0"/>
              <w:ind w:firstLine="567"/>
              <w:jc w:val="both"/>
              <w:rPr>
                <w:rFonts w:eastAsia="Calibri" w:cs="Times New Roman"/>
                <w:szCs w:val="24"/>
              </w:rPr>
            </w:pPr>
            <w:r w:rsidRPr="00AB76C2">
              <w:rPr>
                <w:rFonts w:eastAsia="Calibri" w:cs="Times New Roman"/>
                <w:szCs w:val="24"/>
              </w:rPr>
              <w:t xml:space="preserve">Saskaņā ar Oficiālās elektroniskās adreses likuma 12. pantā noteikto, ja ir aktivizēts oficiālās elektroniskās adreses (turpmāk – e-adrese) konts, valsts iestāde un privātpersona sazinās elektroniski un elektronisko dokumentu nosūta, izmantojot e-adresi. Ņemot vērā iepriekš minēto, lūdzu precizēt noteikumu projekta 15. punktu, izsakot to šādā redakcijā: “Ja subjekta paziņojumā konstatētas satura neatbilstības, kuru dēļ nav iespējams apstrādāt norādīto informāciju, dienests vai zvērināti tiesu izpildītāji par to paziņo subjektam elektroniski vienas darbdienas laikā no paziņojuma saņemšanas.” Papildus lūdzu noteikumu projekta anotācijā skaidrot procesā iesaistīto subjektu saziņas iespēju, izmantojot oficiālo elektronisko adresi, ja subjektam ir aktivizēts oficiālās elektroniskās adreses </w:t>
            </w:r>
            <w:r w:rsidRPr="00AB76C2">
              <w:rPr>
                <w:rFonts w:eastAsia="Calibri" w:cs="Times New Roman"/>
                <w:szCs w:val="24"/>
              </w:rPr>
              <w:lastRenderedPageBreak/>
              <w:t>konts.</w:t>
            </w:r>
          </w:p>
          <w:p w:rsidR="008F38C1" w:rsidRPr="009F0889" w:rsidRDefault="008F38C1" w:rsidP="00281057">
            <w:pPr>
              <w:jc w:val="both"/>
              <w:rPr>
                <w:b/>
                <w:bCs/>
              </w:rPr>
            </w:pPr>
          </w:p>
        </w:tc>
        <w:tc>
          <w:tcPr>
            <w:tcW w:w="3828" w:type="dxa"/>
          </w:tcPr>
          <w:p w:rsidR="008F38C1" w:rsidRPr="001A3F07" w:rsidRDefault="008F38C1" w:rsidP="003339BA">
            <w:pPr>
              <w:jc w:val="both"/>
              <w:rPr>
                <w:b/>
                <w:lang w:eastAsia="lv-LV"/>
              </w:rPr>
            </w:pPr>
            <w:r w:rsidRPr="001A3F07">
              <w:rPr>
                <w:b/>
                <w:lang w:eastAsia="lv-LV"/>
              </w:rPr>
              <w:lastRenderedPageBreak/>
              <w:t>Ņemts vērā</w:t>
            </w:r>
          </w:p>
        </w:tc>
        <w:tc>
          <w:tcPr>
            <w:tcW w:w="3686" w:type="dxa"/>
            <w:vMerge/>
          </w:tcPr>
          <w:p w:rsidR="008F38C1" w:rsidRPr="002A11E4" w:rsidRDefault="008F38C1" w:rsidP="002D46E3">
            <w:pPr>
              <w:pStyle w:val="CommentText"/>
              <w:ind w:firstLine="184"/>
              <w:jc w:val="both"/>
              <w:rPr>
                <w:b/>
                <w:sz w:val="24"/>
                <w:szCs w:val="24"/>
              </w:rPr>
            </w:pPr>
          </w:p>
        </w:tc>
      </w:tr>
      <w:tr w:rsidR="00634435" w:rsidRPr="00984006" w:rsidTr="00BA0343">
        <w:tc>
          <w:tcPr>
            <w:tcW w:w="576" w:type="dxa"/>
          </w:tcPr>
          <w:p w:rsidR="00634435" w:rsidRDefault="00AB76C2" w:rsidP="00634435">
            <w:r>
              <w:t>6</w:t>
            </w:r>
          </w:p>
        </w:tc>
        <w:tc>
          <w:tcPr>
            <w:tcW w:w="2963" w:type="dxa"/>
          </w:tcPr>
          <w:p w:rsidR="00634435" w:rsidRDefault="00634435" w:rsidP="00634435">
            <w:pPr>
              <w:pStyle w:val="CommentText"/>
              <w:ind w:firstLine="184"/>
              <w:jc w:val="both"/>
              <w:rPr>
                <w:b/>
                <w:sz w:val="24"/>
                <w:szCs w:val="24"/>
              </w:rPr>
            </w:pPr>
            <w:r w:rsidRPr="002A11E4">
              <w:rPr>
                <w:b/>
                <w:sz w:val="24"/>
                <w:szCs w:val="24"/>
              </w:rPr>
              <w:t>Noteikumu projekta 1.</w:t>
            </w:r>
            <w:r>
              <w:rPr>
                <w:b/>
                <w:sz w:val="24"/>
                <w:szCs w:val="24"/>
              </w:rPr>
              <w:t>5.</w:t>
            </w:r>
            <w:r w:rsidRPr="002A11E4">
              <w:rPr>
                <w:b/>
                <w:sz w:val="24"/>
                <w:szCs w:val="24"/>
              </w:rPr>
              <w:t xml:space="preserve"> apakšpunkts</w:t>
            </w:r>
          </w:p>
          <w:p w:rsidR="00634435" w:rsidRDefault="00634435" w:rsidP="00634435">
            <w:pPr>
              <w:jc w:val="both"/>
            </w:pPr>
            <w:r>
              <w:t>1.5.  papildināt noteikumus ar 19.</w:t>
            </w:r>
            <w:r w:rsidRPr="002A11E4">
              <w:rPr>
                <w:vertAlign w:val="superscript"/>
              </w:rPr>
              <w:t>1</w:t>
            </w:r>
            <w:r>
              <w:t xml:space="preserve"> punktu šādā redakcijā:</w:t>
            </w:r>
          </w:p>
          <w:p w:rsidR="00634435" w:rsidRDefault="00634435" w:rsidP="00634435">
            <w:pPr>
              <w:jc w:val="both"/>
            </w:pPr>
            <w:r>
              <w:t>“19.</w:t>
            </w:r>
            <w:r w:rsidRPr="002A11E4">
              <w:rPr>
                <w:vertAlign w:val="superscript"/>
              </w:rPr>
              <w:t>1</w:t>
            </w:r>
            <w:r>
              <w:t xml:space="preserve">  Gadījumā, ja cita rīkojuma izpildes rezultātā tiek apturēta līdz tā saņemšanai pieņemtā rīkojuma izpilde daļēji vai pilnībā, subjekts vienas darbdienas laikā no šāda rīkojuma saņemšanas ievieto datu izplatīšanas tīkla kanālā paziņojumu (atbilstoši XML shēmu struktūrai) katram konkrētā rīkojuma, kura izpilde ir apturēta daļēji vai pilnībā, devējam.”</w:t>
            </w:r>
          </w:p>
        </w:tc>
        <w:tc>
          <w:tcPr>
            <w:tcW w:w="4252" w:type="dxa"/>
          </w:tcPr>
          <w:p w:rsidR="00634435" w:rsidRDefault="00634435" w:rsidP="00634435">
            <w:pPr>
              <w:jc w:val="both"/>
              <w:rPr>
                <w:b/>
              </w:rPr>
            </w:pPr>
            <w:r>
              <w:rPr>
                <w:b/>
              </w:rPr>
              <w:t>Latvijas Finanšu nozares asociācija</w:t>
            </w:r>
          </w:p>
          <w:p w:rsidR="00634435" w:rsidRPr="00317E1B" w:rsidRDefault="00634435" w:rsidP="00634435">
            <w:pPr>
              <w:jc w:val="both"/>
            </w:pPr>
            <w:r w:rsidRPr="00317E1B">
              <w:t xml:space="preserve">1. Finanšu nozares asociācija (turpmāk – Asociācija) un tās Valsts institūciju un amatpersonu pieprasījumu apstrādes </w:t>
            </w:r>
            <w:proofErr w:type="spellStart"/>
            <w:r w:rsidRPr="00317E1B">
              <w:t>digitalizācijas</w:t>
            </w:r>
            <w:proofErr w:type="spellEnd"/>
            <w:r w:rsidRPr="00317E1B">
              <w:t xml:space="preserve"> darba grupa ir izskatījusi Grozījumu projektu, kā arī Grozījumu projekta sākotnējās ietekmes novērtējuma ziņojumu (anotāciju) un sniedz savu viedokli par to:</w:t>
            </w:r>
          </w:p>
          <w:p w:rsidR="00634435" w:rsidRDefault="00634435" w:rsidP="00634435">
            <w:pPr>
              <w:jc w:val="both"/>
            </w:pPr>
            <w:r w:rsidRPr="0078741C">
              <w:rPr>
                <w:b/>
              </w:rPr>
              <w:t>Kopumā piekrītam un atbalstām izmaiņas, kas vērtas uz vienota kanāla noteikšanu</w:t>
            </w:r>
            <w:r>
              <w:t xml:space="preserve"> informācijas apmaiņai rīkojumu izpildes un paziņojumu sniegšanas procesā. </w:t>
            </w:r>
          </w:p>
          <w:p w:rsidR="00634435" w:rsidRDefault="00634435" w:rsidP="00634435">
            <w:pPr>
              <w:jc w:val="both"/>
            </w:pPr>
            <w:r w:rsidRPr="0078741C">
              <w:rPr>
                <w:b/>
              </w:rPr>
              <w:t>Pilnībā atbalstām Grozījumu projektu sadaļā, kas paredz pilnveidot ar rīkojumu saņemšanu un paziņojumu sniegšanu saistītās informācijas apriti</w:t>
            </w:r>
            <w:r>
              <w:t xml:space="preserve">, nodrošinot to vienā datu apmaiņas kanālā, kā arī paplašinot sistēmas nosūtīto atbildes paziņojumu klāstu. </w:t>
            </w:r>
          </w:p>
          <w:p w:rsidR="00634435" w:rsidRPr="00984006" w:rsidRDefault="00634435" w:rsidP="001C1E53">
            <w:pPr>
              <w:jc w:val="both"/>
              <w:rPr>
                <w:b/>
              </w:rPr>
            </w:pPr>
            <w:r>
              <w:t>Iebilstam pret MK noteikumu papildināšanu ar 19.</w:t>
            </w:r>
            <w:r w:rsidRPr="00317E1B">
              <w:rPr>
                <w:vertAlign w:val="superscript"/>
              </w:rPr>
              <w:t>1</w:t>
            </w:r>
            <w:r>
              <w:t xml:space="preserve"> punktu un lūdzam to svītrot no Grozījumu projekta. Uzsveram, ka MK noteikumi  “Kārtība, kādā veic datu apmaiņu attiecībā uz elektroniski nosūtāmiem rīkojumiem un paziņojumiem par to izpildi” nosaka tehniska rakstura kārtību, kādā notiek datu apmaiņa starp rīkojumu devējiem un </w:t>
            </w:r>
            <w:r>
              <w:lastRenderedPageBreak/>
              <w:t>kredītiestādēm (arī citiem maksājumu pakalpojumu sniedzējiem). Regulējums pēc būtības par datu apmaiņu starp rīkojumu devējiem un kredītiestādēm iekļauts Kredītiestāžu likumā, likumā “Par nodokļiem un nodevām”, Civilprocesa likumā un Maksājumu pakalpojumu un elektroniskās naudas likumā. Papildinot MK noteikumus ar 19.</w:t>
            </w:r>
            <w:r w:rsidRPr="00317E1B">
              <w:rPr>
                <w:vertAlign w:val="superscript"/>
              </w:rPr>
              <w:t>1</w:t>
            </w:r>
            <w:r>
              <w:t xml:space="preserve"> punktu, pēc būtības tiek paplašināta augstākminētajos likumos regulētā informācijas apmaiņas kārtība. Vienlaikus nav skaidra  subjekta sagaidāmā rīcība, šādu paziņojumu tvērums un situācijas, kurās paziņojums būtu jāsniedz. Ikdienas praksē iespējami dažādi gadījumi, kas var ietekmēt rīkojuma izpildi, taču tie neatceļ rīkojumus un subjektam saglabājas rīkojumu izpildes pienākums tiklīdz tas kļūst iespējams. Cita starpā Grozījumu projekta 1.5. punktā ietvertā norma potenciāli nosaka pienākumu subjektam informēt rīkojuma devēju par rīkojuma izpildes apturēšanu, tostarp arī situācijās, kur saņemts šī paša rīkojuma devēja cits rīkojums, kas ietekmē iepriekšējā rīkojuma izpildi. Šādas informācijas atpakaļ paziņošanu vienam un tam pašam rīkojumu devējam uzskatām par neadekvātu, kas apstiprina 19.</w:t>
            </w:r>
            <w:r w:rsidRPr="00317E1B">
              <w:rPr>
                <w:vertAlign w:val="superscript"/>
              </w:rPr>
              <w:t>1</w:t>
            </w:r>
            <w:r>
              <w:t xml:space="preserve"> punktā iekļautā pienākuma nesamērīgumu un neskaidro definējumu.</w:t>
            </w:r>
          </w:p>
        </w:tc>
        <w:tc>
          <w:tcPr>
            <w:tcW w:w="3828" w:type="dxa"/>
          </w:tcPr>
          <w:p w:rsidR="000A3B2F" w:rsidRDefault="00F8628F" w:rsidP="003339BA">
            <w:pPr>
              <w:jc w:val="both"/>
              <w:rPr>
                <w:b/>
              </w:rPr>
            </w:pPr>
            <w:r>
              <w:rPr>
                <w:b/>
              </w:rPr>
              <w:lastRenderedPageBreak/>
              <w:t>Panākta vienošanās</w:t>
            </w:r>
          </w:p>
          <w:p w:rsidR="00634435" w:rsidRPr="00984006" w:rsidRDefault="00741FBD" w:rsidP="003339BA">
            <w:pPr>
              <w:jc w:val="both"/>
              <w:rPr>
                <w:b/>
              </w:rPr>
            </w:pPr>
            <w:r w:rsidRPr="00741FBD">
              <w:rPr>
                <w:b/>
              </w:rPr>
              <w:t>18.septembra starpinstitūciju sanāksmē</w:t>
            </w:r>
            <w:r w:rsidR="00AC49D6">
              <w:rPr>
                <w:b/>
              </w:rPr>
              <w:t xml:space="preserve"> </w:t>
            </w:r>
            <w:r w:rsidRPr="00741FBD">
              <w:rPr>
                <w:b/>
              </w:rPr>
              <w:t>panākta vienošanās</w:t>
            </w:r>
            <w:r>
              <w:rPr>
                <w:b/>
              </w:rPr>
              <w:t xml:space="preserve"> par normas izslēgšanu</w:t>
            </w:r>
            <w:r w:rsidR="002D46E3">
              <w:rPr>
                <w:b/>
              </w:rPr>
              <w:t>.</w:t>
            </w:r>
          </w:p>
        </w:tc>
        <w:tc>
          <w:tcPr>
            <w:tcW w:w="3686" w:type="dxa"/>
          </w:tcPr>
          <w:p w:rsidR="002D46E3" w:rsidRDefault="002D46E3" w:rsidP="002D46E3">
            <w:pPr>
              <w:pStyle w:val="CommentText"/>
              <w:ind w:firstLine="184"/>
              <w:jc w:val="both"/>
              <w:rPr>
                <w:b/>
                <w:sz w:val="24"/>
                <w:szCs w:val="24"/>
              </w:rPr>
            </w:pPr>
            <w:r w:rsidRPr="002A11E4">
              <w:rPr>
                <w:b/>
                <w:sz w:val="24"/>
                <w:szCs w:val="24"/>
              </w:rPr>
              <w:t>Noteikumu projekta apakšpunkts</w:t>
            </w:r>
            <w:r w:rsidR="0089218E">
              <w:t xml:space="preserve"> </w:t>
            </w:r>
            <w:r w:rsidR="0089218E" w:rsidRPr="0089218E">
              <w:rPr>
                <w:b/>
                <w:sz w:val="24"/>
                <w:szCs w:val="24"/>
              </w:rPr>
              <w:t>(attiecībā uz</w:t>
            </w:r>
            <w:r w:rsidR="0089218E">
              <w:t xml:space="preserve"> </w:t>
            </w:r>
            <w:r w:rsidR="0089218E" w:rsidRPr="0089218E">
              <w:rPr>
                <w:b/>
                <w:sz w:val="24"/>
                <w:szCs w:val="24"/>
              </w:rPr>
              <w:t>noteikumu papildinā</w:t>
            </w:r>
            <w:r w:rsidR="003145E6">
              <w:rPr>
                <w:b/>
                <w:sz w:val="24"/>
                <w:szCs w:val="24"/>
              </w:rPr>
              <w:t>šanu</w:t>
            </w:r>
            <w:r w:rsidR="0089218E" w:rsidRPr="0089218E">
              <w:rPr>
                <w:b/>
                <w:sz w:val="24"/>
                <w:szCs w:val="24"/>
              </w:rPr>
              <w:t xml:space="preserve"> ar 19.</w:t>
            </w:r>
            <w:r w:rsidR="0089218E" w:rsidRPr="0089218E">
              <w:rPr>
                <w:b/>
                <w:sz w:val="24"/>
                <w:szCs w:val="24"/>
                <w:vertAlign w:val="superscript"/>
              </w:rPr>
              <w:t>1</w:t>
            </w:r>
            <w:r w:rsidR="0089218E" w:rsidRPr="0089218E">
              <w:rPr>
                <w:b/>
                <w:sz w:val="24"/>
                <w:szCs w:val="24"/>
              </w:rPr>
              <w:t xml:space="preserve"> punktu</w:t>
            </w:r>
            <w:r w:rsidR="0089218E">
              <w:rPr>
                <w:b/>
                <w:sz w:val="24"/>
                <w:szCs w:val="24"/>
              </w:rPr>
              <w:t>)</w:t>
            </w:r>
            <w:r>
              <w:rPr>
                <w:b/>
                <w:sz w:val="24"/>
                <w:szCs w:val="24"/>
              </w:rPr>
              <w:t xml:space="preserve"> ir svītrots.</w:t>
            </w:r>
          </w:p>
          <w:p w:rsidR="00634435" w:rsidRPr="002F6F19" w:rsidRDefault="00634435" w:rsidP="00634435">
            <w:pPr>
              <w:jc w:val="both"/>
              <w:rPr>
                <w:b/>
                <w:i/>
              </w:rPr>
            </w:pPr>
          </w:p>
        </w:tc>
      </w:tr>
      <w:tr w:rsidR="00A53C98" w:rsidRPr="00984006" w:rsidTr="00BA0343">
        <w:tc>
          <w:tcPr>
            <w:tcW w:w="576" w:type="dxa"/>
          </w:tcPr>
          <w:p w:rsidR="00A53C98" w:rsidRDefault="00AB76C2" w:rsidP="00A53C98">
            <w:r>
              <w:lastRenderedPageBreak/>
              <w:t>7</w:t>
            </w:r>
          </w:p>
        </w:tc>
        <w:tc>
          <w:tcPr>
            <w:tcW w:w="2963" w:type="dxa"/>
          </w:tcPr>
          <w:p w:rsidR="008F38C1" w:rsidRDefault="008F38C1" w:rsidP="00A53C98">
            <w:pPr>
              <w:jc w:val="both"/>
            </w:pPr>
          </w:p>
          <w:p w:rsidR="008F38C1" w:rsidRPr="008F38C1" w:rsidRDefault="008F38C1" w:rsidP="00BA0343"/>
          <w:p w:rsidR="008F38C1" w:rsidRPr="008F38C1" w:rsidRDefault="008F38C1" w:rsidP="00BA0343"/>
          <w:p w:rsidR="008F38C1" w:rsidRPr="00730932" w:rsidRDefault="008F38C1" w:rsidP="00BA0343"/>
          <w:p w:rsidR="008F38C1" w:rsidRPr="008F38C1" w:rsidRDefault="008F38C1" w:rsidP="00BA0343"/>
          <w:p w:rsidR="008F38C1" w:rsidRPr="008F38C1" w:rsidRDefault="008F38C1" w:rsidP="00BA0343"/>
          <w:p w:rsidR="00A53C98" w:rsidRPr="008F38C1" w:rsidRDefault="00A53C98" w:rsidP="00BA0343"/>
        </w:tc>
        <w:tc>
          <w:tcPr>
            <w:tcW w:w="4252" w:type="dxa"/>
          </w:tcPr>
          <w:p w:rsidR="00A53C98" w:rsidRPr="00984006" w:rsidRDefault="00A53C98" w:rsidP="00A53C98">
            <w:pPr>
              <w:jc w:val="both"/>
              <w:rPr>
                <w:b/>
              </w:rPr>
            </w:pPr>
            <w:r>
              <w:rPr>
                <w:b/>
              </w:rPr>
              <w:t>Latvijas Finanšu nozares asociācija</w:t>
            </w:r>
          </w:p>
          <w:p w:rsidR="00A53C98" w:rsidRDefault="00A53C98" w:rsidP="00A53C98">
            <w:pPr>
              <w:jc w:val="both"/>
            </w:pPr>
            <w:r>
              <w:t>Iesakām papildināt Grozījumu projektu ar atsevišķu punktu par subjekta rīcību gadījumos, kad rīkojuma devējs paredz parādniekam saglabāt naudas līdzekļus Civilprocesa likuma 1. pielikuma 3. punktā noteiktajā apmērā. Šīs normas praktiskā piemērošana ir radījusi neskaidrības kredītiestāžu pusē, diskutēta Saeimas Juridiskajā birojā, kā arī saņemts rakstisks viedoklis no Tieslietu ministrijas (Tieslietu ministrijas 07.05.2019.vēstule Nr. 1-18/1640).</w:t>
            </w:r>
          </w:p>
          <w:p w:rsidR="00A53C98" w:rsidRDefault="00A53C98" w:rsidP="00A53C98">
            <w:pPr>
              <w:jc w:val="both"/>
            </w:pPr>
            <w:r>
              <w:t xml:space="preserve">Uzskatām, ka ieviestā </w:t>
            </w:r>
            <w:proofErr w:type="spellStart"/>
            <w:r>
              <w:t>prakstiskā</w:t>
            </w:r>
            <w:proofErr w:type="spellEnd"/>
            <w:r>
              <w:t xml:space="preserve"> kārtība būtu nostiprināma MK noteikumu tekstā, tādējādi izvairoties no nekonsekvences rīkojumu izpildē un saglabājamo līdzekļu nodrošināšanā parādniekam. Piedāvājam sekojošu redakciju iekļaušanai Grozījumu projektā:</w:t>
            </w:r>
          </w:p>
          <w:p w:rsidR="00A53C98" w:rsidRDefault="00A53C98" w:rsidP="00A53C98">
            <w:pPr>
              <w:jc w:val="both"/>
            </w:pPr>
          </w:p>
          <w:p w:rsidR="00A53C98" w:rsidRPr="00984006" w:rsidRDefault="00A53C98" w:rsidP="002D46E3">
            <w:pPr>
              <w:jc w:val="both"/>
              <w:rPr>
                <w:b/>
              </w:rPr>
            </w:pPr>
            <w:r w:rsidRPr="0033243A">
              <w:rPr>
                <w:i/>
              </w:rPr>
              <w:t xml:space="preserve">Gadījumā, ja subjekts secīgi saņēmis vairākus rīkojumus par naudas līdzekļu apķīlāšanu un sniedzis atbildes paziņojumus par piedziņai pieejamo līdzekļu apmēru, tas rīkojuma </w:t>
            </w:r>
            <w:r w:rsidRPr="002A11E4">
              <w:rPr>
                <w:i/>
                <w:u w:val="single"/>
              </w:rPr>
              <w:t xml:space="preserve">devējam ir tiesīgs pārskaitīt mazāk par sākotnēji apsolīto tikai tad, ja laika posmā starp apķīlāšanas rīkojuma un pārskaitīšanas rīkojuma došanu parādniekam ir noteikta saglabājamā summa un kontā nav pietiekamu līdzekļu pārskaitījuma </w:t>
            </w:r>
            <w:r w:rsidRPr="002A11E4">
              <w:rPr>
                <w:i/>
                <w:u w:val="single"/>
              </w:rPr>
              <w:lastRenderedPageBreak/>
              <w:t>rīkojumu izpildei pilnā apmērā</w:t>
            </w:r>
            <w:r w:rsidRPr="0033243A">
              <w:rPr>
                <w:i/>
              </w:rPr>
              <w:t>. Šis noteikums nav attiecināms uz visiem rīkojumu devējiem, bet tikai uz konkrēto rīkojumu, kurā ietverta papildus prasība saglabāt naudas līdzekļus parādniekam.</w:t>
            </w:r>
          </w:p>
        </w:tc>
        <w:tc>
          <w:tcPr>
            <w:tcW w:w="3828" w:type="dxa"/>
          </w:tcPr>
          <w:p w:rsidR="000A3B2F" w:rsidRDefault="000A3B2F" w:rsidP="00B1410D">
            <w:pPr>
              <w:jc w:val="both"/>
              <w:rPr>
                <w:b/>
              </w:rPr>
            </w:pPr>
            <w:r>
              <w:rPr>
                <w:b/>
              </w:rPr>
              <w:lastRenderedPageBreak/>
              <w:t>Panākta vienošanās</w:t>
            </w:r>
          </w:p>
          <w:p w:rsidR="000A3B2F" w:rsidRDefault="000A3B2F" w:rsidP="00B1410D">
            <w:pPr>
              <w:jc w:val="both"/>
              <w:rPr>
                <w:b/>
              </w:rPr>
            </w:pPr>
          </w:p>
          <w:p w:rsidR="00B1410D" w:rsidRPr="000A3B2F" w:rsidRDefault="002D46E3" w:rsidP="00B1410D">
            <w:pPr>
              <w:jc w:val="both"/>
              <w:rPr>
                <w:b/>
              </w:rPr>
            </w:pPr>
            <w:r w:rsidRPr="000A3B2F">
              <w:rPr>
                <w:b/>
              </w:rPr>
              <w:t>18.septembra starpinstitūciju sanāksmē ir panākta vienošanās</w:t>
            </w:r>
            <w:r w:rsidRPr="00B1410D">
              <w:t xml:space="preserve">, ka kredītiestāde var pārskaitīt </w:t>
            </w:r>
            <w:r w:rsidR="00B1410D" w:rsidRPr="00B1410D">
              <w:t>mazāk par</w:t>
            </w:r>
            <w:r w:rsidRPr="00B1410D">
              <w:t xml:space="preserve"> apsolīto summu</w:t>
            </w:r>
            <w:r w:rsidR="00B1410D" w:rsidRPr="00B1410D">
              <w:t xml:space="preserve"> tikai šādos gadījumos:</w:t>
            </w:r>
          </w:p>
          <w:p w:rsidR="00B1410D" w:rsidRDefault="00B12297" w:rsidP="00B1410D">
            <w:pPr>
              <w:jc w:val="both"/>
            </w:pPr>
            <w:r>
              <w:t xml:space="preserve"> </w:t>
            </w:r>
            <w:r w:rsidR="00B1410D" w:rsidRPr="00B1410D">
              <w:t>- rīkojuma devējs rīkojumā par naudas līdzekļu pārska</w:t>
            </w:r>
            <w:r w:rsidR="003339BA">
              <w:t>itīšanu pats ir norādījis mazāku</w:t>
            </w:r>
            <w:r w:rsidR="00B1410D">
              <w:t xml:space="preserve"> pārskaitāmo līdzekļu summu;</w:t>
            </w:r>
          </w:p>
          <w:p w:rsidR="00A53C98" w:rsidRDefault="00B1410D" w:rsidP="00CB50A3">
            <w:pPr>
              <w:jc w:val="both"/>
            </w:pPr>
            <w:r>
              <w:t xml:space="preserve"> - rīkojuma devējs </w:t>
            </w:r>
            <w:r w:rsidR="004B0A20" w:rsidRPr="00B1410D">
              <w:t>rīkojumā par naudas līdzekļu pārskaitīšanu</w:t>
            </w:r>
            <w:r w:rsidR="004B0A20">
              <w:t xml:space="preserve"> ir iekļāvis papildus darbību – saglabāt</w:t>
            </w:r>
            <w:r w:rsidR="00B12297">
              <w:t>/atbrīvot</w:t>
            </w:r>
            <w:r w:rsidR="004B0A20">
              <w:t xml:space="preserve"> </w:t>
            </w:r>
            <w:r w:rsidR="00B12297">
              <w:t xml:space="preserve">no apķīlāšanas </w:t>
            </w:r>
            <w:r w:rsidR="000A3B2F">
              <w:t>fiziskai personai</w:t>
            </w:r>
            <w:r w:rsidR="004B0A20">
              <w:t xml:space="preserve"> naudas summu</w:t>
            </w:r>
            <w:r w:rsidR="00CB50A3">
              <w:t xml:space="preserve"> pēc CPL 1.pielikuma (4. un 5.darbība)</w:t>
            </w:r>
            <w:r w:rsidR="003553F4">
              <w:t xml:space="preserve"> – tikai šim konkrētajām rīkojuma devējam</w:t>
            </w:r>
            <w:r w:rsidR="002D46E3" w:rsidRPr="00B1410D">
              <w:t>.</w:t>
            </w:r>
          </w:p>
          <w:p w:rsidR="009B0212" w:rsidRDefault="009B0212" w:rsidP="00CB50A3">
            <w:pPr>
              <w:jc w:val="both"/>
            </w:pPr>
            <w:r>
              <w:t>Turklāt puses ir vienojās par sekojošo:</w:t>
            </w:r>
          </w:p>
          <w:p w:rsidR="00CB50A3" w:rsidRDefault="00822A9E" w:rsidP="00CB50A3">
            <w:pPr>
              <w:jc w:val="both"/>
            </w:pPr>
            <w:r>
              <w:t>-g</w:t>
            </w:r>
            <w:r w:rsidR="00CB50A3">
              <w:t>adījumā, ja vienā rīkojumā ir iekļautas vairākās darbības</w:t>
            </w:r>
            <w:r w:rsidR="003339BA">
              <w:t>, tā</w:t>
            </w:r>
            <w:r w:rsidR="00CB50A3">
              <w:t>s izpilda norādītajā secībā, be</w:t>
            </w:r>
            <w:r w:rsidR="000A3B2F">
              <w:t>t, ja starp šīm darbībām</w:t>
            </w:r>
            <w:r w:rsidR="008E20A3">
              <w:t xml:space="preserve">, kas paziņotas </w:t>
            </w:r>
            <w:r>
              <w:t>vienā rīkojumā</w:t>
            </w:r>
            <w:r w:rsidR="008E20A3">
              <w:t>,</w:t>
            </w:r>
            <w:r w:rsidR="000A3B2F">
              <w:t xml:space="preserve"> ir norā</w:t>
            </w:r>
            <w:r w:rsidR="00CB50A3">
              <w:t xml:space="preserve">dīta darbība saglabāt/atbrīvot </w:t>
            </w:r>
            <w:r w:rsidR="000A3B2F">
              <w:t>no apķīlāšanas fiziskai personai</w:t>
            </w:r>
            <w:r w:rsidR="00CB50A3">
              <w:t xml:space="preserve"> naudas summu pēc CPL 1.pielikuma (4. un 5.darbība), tad sākumā izpilda šo darbību. </w:t>
            </w:r>
          </w:p>
          <w:p w:rsidR="00CB50A3" w:rsidRDefault="008E20A3" w:rsidP="009B0212">
            <w:pPr>
              <w:jc w:val="both"/>
            </w:pPr>
            <w:r>
              <w:t>- g</w:t>
            </w:r>
            <w:r w:rsidR="00CB50A3">
              <w:t>adījumā, ja</w:t>
            </w:r>
            <w:r w:rsidR="00344E36">
              <w:t>,</w:t>
            </w:r>
            <w:r w:rsidR="00CB50A3">
              <w:t xml:space="preserve"> </w:t>
            </w:r>
            <w:r w:rsidR="00344E36">
              <w:t xml:space="preserve">piemēram, </w:t>
            </w:r>
            <w:r w:rsidR="00CB50A3">
              <w:t xml:space="preserve">ir saņemti divi rīkojumi par naudas līdzekļu </w:t>
            </w:r>
            <w:r w:rsidR="00CB50A3">
              <w:lastRenderedPageBreak/>
              <w:t xml:space="preserve">apķīlāšanu un tikai otrajā ir iekļauta darbība saglabāt </w:t>
            </w:r>
            <w:r w:rsidR="000A3B2F">
              <w:t>no apķīlāšanas fiziskai personai</w:t>
            </w:r>
            <w:r w:rsidR="00CB50A3">
              <w:t xml:space="preserve"> naudas summu pēc CPL 1.pielikuma (4.darbība), tad sākumā apķīlā naudas līdzekļus pirmajā rīkojumā norādītajā apmērā un tad</w:t>
            </w:r>
            <w:r w:rsidR="000A3B2F">
              <w:t xml:space="preserve"> attiecī</w:t>
            </w:r>
            <w:r w:rsidR="009B0212">
              <w:t>bā uz atlikušajiem naudas</w:t>
            </w:r>
            <w:r w:rsidR="00CB50A3">
              <w:t xml:space="preserve"> </w:t>
            </w:r>
            <w:r w:rsidR="009B0212">
              <w:t>līdzekļiem piemēro nosacījumu par saglabāšanu. Pretenziju gadījumā klientam jāvēršas pie rīkojuma devēja.</w:t>
            </w:r>
          </w:p>
          <w:p w:rsidR="009B0212" w:rsidRDefault="008E20A3" w:rsidP="009B0212">
            <w:pPr>
              <w:jc w:val="both"/>
            </w:pPr>
            <w:r>
              <w:t>- g</w:t>
            </w:r>
            <w:r w:rsidR="009B0212">
              <w:t>adījumā, ja</w:t>
            </w:r>
            <w:r w:rsidR="00344E36">
              <w:t>,</w:t>
            </w:r>
            <w:r w:rsidR="009B0212">
              <w:t xml:space="preserve"> </w:t>
            </w:r>
            <w:r w:rsidR="00344E36">
              <w:t xml:space="preserve">piemēram, </w:t>
            </w:r>
            <w:r w:rsidR="009B0212">
              <w:t xml:space="preserve">ir saņemti divi rīkojumi par naudas līdzekļu apķīlāšanu un </w:t>
            </w:r>
            <w:r w:rsidR="00A13BE3">
              <w:t>abos</w:t>
            </w:r>
            <w:r w:rsidR="009B0212">
              <w:t xml:space="preserve"> ir iekļauta darbība saglabāt no apķīlāšanas</w:t>
            </w:r>
            <w:r>
              <w:t xml:space="preserve"> vienai un tai pašai</w:t>
            </w:r>
            <w:r w:rsidR="009B0212">
              <w:t xml:space="preserve"> fiziskai persona</w:t>
            </w:r>
            <w:r w:rsidR="000A3B2F">
              <w:t>i</w:t>
            </w:r>
            <w:r w:rsidR="009B0212">
              <w:t xml:space="preserve"> naudas summu pēc CPL 1.pielikuma (4.darbība), tad</w:t>
            </w:r>
            <w:r w:rsidR="00A13BE3">
              <w:t xml:space="preserve"> naudas līdzekļi tiek saglabāti tikai vienu reizi (430 </w:t>
            </w:r>
            <w:r w:rsidR="00A13BE3" w:rsidRPr="00A13BE3">
              <w:rPr>
                <w:i/>
              </w:rPr>
              <w:t>euro</w:t>
            </w:r>
            <w:r w:rsidR="00A13BE3">
              <w:t xml:space="preserve">, nevis 860 </w:t>
            </w:r>
            <w:r w:rsidR="00A13BE3" w:rsidRPr="00A13BE3">
              <w:rPr>
                <w:i/>
              </w:rPr>
              <w:t>euro</w:t>
            </w:r>
            <w:r w:rsidR="00A13BE3">
              <w:t>).</w:t>
            </w:r>
          </w:p>
          <w:p w:rsidR="009B0212" w:rsidRPr="00984006" w:rsidRDefault="009B0212" w:rsidP="009B0212">
            <w:pPr>
              <w:jc w:val="both"/>
              <w:rPr>
                <w:b/>
              </w:rPr>
            </w:pPr>
          </w:p>
        </w:tc>
        <w:tc>
          <w:tcPr>
            <w:tcW w:w="3686" w:type="dxa"/>
          </w:tcPr>
          <w:p w:rsidR="00A53C98" w:rsidRPr="002F6F19" w:rsidRDefault="00A53C98" w:rsidP="00A53C98">
            <w:pPr>
              <w:jc w:val="both"/>
              <w:rPr>
                <w:b/>
                <w:i/>
              </w:rPr>
            </w:pPr>
          </w:p>
        </w:tc>
      </w:tr>
      <w:tr w:rsidR="00A53C98" w:rsidRPr="00984006" w:rsidTr="00BA0343">
        <w:tc>
          <w:tcPr>
            <w:tcW w:w="576" w:type="dxa"/>
          </w:tcPr>
          <w:p w:rsidR="00A53C98" w:rsidRDefault="00AB76C2" w:rsidP="00A53C98">
            <w:r>
              <w:t>8</w:t>
            </w:r>
          </w:p>
        </w:tc>
        <w:tc>
          <w:tcPr>
            <w:tcW w:w="2963" w:type="dxa"/>
          </w:tcPr>
          <w:p w:rsidR="00A53C98" w:rsidRPr="00010B89" w:rsidRDefault="00A53C98" w:rsidP="00A53C98">
            <w:pPr>
              <w:jc w:val="both"/>
              <w:rPr>
                <w:b/>
              </w:rPr>
            </w:pPr>
            <w:r w:rsidRPr="00010B89">
              <w:rPr>
                <w:b/>
              </w:rPr>
              <w:t>Spēkā esošo Noteikumu 4.punkts</w:t>
            </w:r>
          </w:p>
          <w:p w:rsidR="00A53C98" w:rsidRDefault="00A53C98" w:rsidP="00A53C98">
            <w:pPr>
              <w:jc w:val="both"/>
            </w:pPr>
            <w:r w:rsidRPr="00D313AE">
              <w:t xml:space="preserve">4. Lai uzsāktu datu apmaiņu ar datu izplatīšanas tīkla starpniecību, dienests un Tiesu administrācija (turpmāk abi kopā – iestāde), un subjekts pieprasa aģentūrai datu izplatīšanas tīkla vides lietotāja tiesības. </w:t>
            </w:r>
            <w:r w:rsidRPr="00D313AE">
              <w:rPr>
                <w:i/>
                <w:u w:val="single"/>
              </w:rPr>
              <w:t xml:space="preserve">Pieprasījumu nosūta </w:t>
            </w:r>
            <w:r w:rsidRPr="00D313AE">
              <w:rPr>
                <w:i/>
                <w:u w:val="single"/>
              </w:rPr>
              <w:lastRenderedPageBreak/>
              <w:t xml:space="preserve">rakstiski (elektroniskā dokumenta vai papīra formā), izmantojot vietnē https://viss.gov.lv/ ievietotās veidlapas. </w:t>
            </w:r>
            <w:r w:rsidRPr="00D313AE">
              <w:t>Aģentūra piecu darbdienu laikā no pieprasījuma saņemšanas paziņo par piešķirtajām tiesībām uz pieprasījumā norādīto elektroniskā pasta adresi. Aģentūra nodrošina datu izplatīšanas tīkla testa vidi.</w:t>
            </w:r>
          </w:p>
        </w:tc>
        <w:tc>
          <w:tcPr>
            <w:tcW w:w="4252" w:type="dxa"/>
          </w:tcPr>
          <w:p w:rsidR="00A53C98" w:rsidRPr="00984006" w:rsidRDefault="00A53C98" w:rsidP="00A53C98">
            <w:pPr>
              <w:jc w:val="both"/>
              <w:rPr>
                <w:b/>
              </w:rPr>
            </w:pPr>
            <w:r>
              <w:rPr>
                <w:b/>
              </w:rPr>
              <w:lastRenderedPageBreak/>
              <w:t>Latvijas Finanšu nozares asociācija</w:t>
            </w:r>
          </w:p>
          <w:p w:rsidR="00A53C98" w:rsidRPr="008444E7" w:rsidRDefault="00A53C98" w:rsidP="00A53C98">
            <w:pPr>
              <w:jc w:val="both"/>
            </w:pPr>
            <w:r w:rsidRPr="008444E7">
              <w:t xml:space="preserve">Lai nodrošinātu efektīvāku informācijas apmaiņu, aicinām izslēgt papīra formas iesniegumu apriti un 4. punktu izteikt šādā redakcijā:  </w:t>
            </w:r>
          </w:p>
          <w:p w:rsidR="00A53C98" w:rsidRPr="00984006" w:rsidRDefault="00A53C98" w:rsidP="001C1E53">
            <w:pPr>
              <w:jc w:val="both"/>
              <w:rPr>
                <w:b/>
              </w:rPr>
            </w:pPr>
            <w:r w:rsidRPr="008444E7">
              <w:rPr>
                <w:i/>
              </w:rPr>
              <w:t xml:space="preserve">4. Lai uzsāktu datu apmaiņu ar datu izplatīšanas tīkla starpniecību, dienests un Tiesu administrācija (turpmāk abi kopā – iestāde), un subjekts pieprasa aģentūrai datu izplatīšanas tīkla vides lietotāja tiesības. Pieprasījumu nosūta </w:t>
            </w:r>
            <w:r w:rsidRPr="008444E7">
              <w:rPr>
                <w:i/>
                <w:u w:val="single"/>
              </w:rPr>
              <w:t xml:space="preserve">rakstiski uz </w:t>
            </w:r>
            <w:r w:rsidRPr="008444E7">
              <w:rPr>
                <w:i/>
                <w:u w:val="single"/>
              </w:rPr>
              <w:lastRenderedPageBreak/>
              <w:t xml:space="preserve">aģentūras oficiālo elektroniskā pasta adresi, </w:t>
            </w:r>
            <w:r w:rsidRPr="008444E7">
              <w:rPr>
                <w:i/>
              </w:rPr>
              <w:t>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tc>
        <w:tc>
          <w:tcPr>
            <w:tcW w:w="3828" w:type="dxa"/>
          </w:tcPr>
          <w:p w:rsidR="000A3B2F" w:rsidRDefault="000A3B2F" w:rsidP="00A53C98">
            <w:pPr>
              <w:jc w:val="both"/>
              <w:rPr>
                <w:b/>
              </w:rPr>
            </w:pPr>
            <w:r>
              <w:rPr>
                <w:b/>
              </w:rPr>
              <w:lastRenderedPageBreak/>
              <w:t>Panākta vien</w:t>
            </w:r>
            <w:r w:rsidR="00F8628F">
              <w:rPr>
                <w:b/>
              </w:rPr>
              <w:t>ošanās</w:t>
            </w:r>
          </w:p>
          <w:p w:rsidR="000A3B2F" w:rsidRDefault="000A3B2F" w:rsidP="00A53C98">
            <w:pPr>
              <w:jc w:val="both"/>
              <w:rPr>
                <w:b/>
              </w:rPr>
            </w:pPr>
          </w:p>
          <w:p w:rsidR="00A53C98" w:rsidRDefault="00A13BE3" w:rsidP="00A53C98">
            <w:pPr>
              <w:jc w:val="both"/>
              <w:rPr>
                <w:b/>
              </w:rPr>
            </w:pPr>
            <w:r w:rsidRPr="00741FBD">
              <w:rPr>
                <w:b/>
              </w:rPr>
              <w:t>18.septembra starpinstitūciju sanāksmē</w:t>
            </w:r>
            <w:r w:rsidR="000A3B2F">
              <w:rPr>
                <w:b/>
              </w:rPr>
              <w:t xml:space="preserve"> (</w:t>
            </w:r>
            <w:r w:rsidR="00AC49D6">
              <w:rPr>
                <w:b/>
              </w:rPr>
              <w:t xml:space="preserve">VARAM un VRAA </w:t>
            </w:r>
            <w:r w:rsidR="000A3B2F">
              <w:rPr>
                <w:b/>
              </w:rPr>
              <w:t>šo akceptējot</w:t>
            </w:r>
            <w:r w:rsidR="00AC49D6">
              <w:rPr>
                <w:b/>
              </w:rPr>
              <w:t>)</w:t>
            </w:r>
            <w:r w:rsidRPr="00741FBD">
              <w:rPr>
                <w:b/>
              </w:rPr>
              <w:t xml:space="preserve"> ir panākta vienošanās</w:t>
            </w:r>
            <w:r w:rsidR="0089218E">
              <w:rPr>
                <w:b/>
              </w:rPr>
              <w:t xml:space="preserve"> par projekta papildināšanu ar jaunu punk</w:t>
            </w:r>
            <w:r w:rsidR="002C23BE">
              <w:rPr>
                <w:b/>
              </w:rPr>
              <w:t>t</w:t>
            </w:r>
            <w:r w:rsidR="0089218E">
              <w:rPr>
                <w:b/>
              </w:rPr>
              <w:t>u.</w:t>
            </w:r>
          </w:p>
          <w:p w:rsidR="00A13BE3" w:rsidRPr="00A13BE3" w:rsidRDefault="00A13BE3" w:rsidP="00B353EE">
            <w:pPr>
              <w:jc w:val="both"/>
            </w:pPr>
          </w:p>
        </w:tc>
        <w:tc>
          <w:tcPr>
            <w:tcW w:w="3686" w:type="dxa"/>
          </w:tcPr>
          <w:p w:rsidR="0089218E" w:rsidRDefault="0089218E" w:rsidP="0089218E">
            <w:pPr>
              <w:jc w:val="both"/>
            </w:pPr>
            <w:r w:rsidRPr="002A11E4">
              <w:rPr>
                <w:b/>
                <w:szCs w:val="24"/>
              </w:rPr>
              <w:t>Noteikumu projekta 1.</w:t>
            </w:r>
            <w:r>
              <w:rPr>
                <w:b/>
                <w:szCs w:val="24"/>
              </w:rPr>
              <w:t>2.</w:t>
            </w:r>
            <w:r w:rsidRPr="002A11E4">
              <w:rPr>
                <w:b/>
                <w:szCs w:val="24"/>
              </w:rPr>
              <w:t xml:space="preserve"> apakšpunkts</w:t>
            </w:r>
            <w:r>
              <w:t xml:space="preserve"> </w:t>
            </w:r>
          </w:p>
          <w:p w:rsidR="00A53C98" w:rsidRPr="0089218E" w:rsidRDefault="0089218E" w:rsidP="003145E6">
            <w:pPr>
              <w:jc w:val="both"/>
            </w:pPr>
            <w:r w:rsidRPr="0089218E">
              <w:t>1.2. aizstāt 4. punktā vārdus “</w:t>
            </w:r>
            <w:r w:rsidR="000A3B2F">
              <w:t xml:space="preserve">rakstiski </w:t>
            </w:r>
            <w:r w:rsidRPr="0089218E">
              <w:t>(elektroniskā dokumenta vai papīra formā)” ar vārdiem “uz aģentūras oficiālo elektronisko adresi”;</w:t>
            </w:r>
          </w:p>
        </w:tc>
      </w:tr>
      <w:tr w:rsidR="00A53C98" w:rsidRPr="00984006" w:rsidTr="00BA0343">
        <w:tc>
          <w:tcPr>
            <w:tcW w:w="576" w:type="dxa"/>
          </w:tcPr>
          <w:p w:rsidR="00A53C98" w:rsidRDefault="00AB76C2" w:rsidP="00A53C98">
            <w:r>
              <w:t>9</w:t>
            </w:r>
          </w:p>
        </w:tc>
        <w:tc>
          <w:tcPr>
            <w:tcW w:w="2963" w:type="dxa"/>
          </w:tcPr>
          <w:p w:rsidR="00A53C98" w:rsidRPr="00010B89" w:rsidRDefault="00A53C98" w:rsidP="00A53C98">
            <w:pPr>
              <w:jc w:val="both"/>
              <w:rPr>
                <w:b/>
              </w:rPr>
            </w:pPr>
            <w:r w:rsidRPr="00010B89">
              <w:rPr>
                <w:b/>
              </w:rPr>
              <w:t xml:space="preserve">Spēkā esošo Noteikumu </w:t>
            </w:r>
            <w:r>
              <w:rPr>
                <w:b/>
              </w:rPr>
              <w:t>1</w:t>
            </w:r>
            <w:r w:rsidRPr="00010B89">
              <w:rPr>
                <w:b/>
              </w:rPr>
              <w:t>4.punkts</w:t>
            </w:r>
          </w:p>
          <w:p w:rsidR="00A53C98" w:rsidRDefault="00A53C98" w:rsidP="00A53C98">
            <w:pPr>
              <w:jc w:val="both"/>
            </w:pPr>
            <w:r w:rsidRPr="004D2DE2">
              <w:t xml:space="preserve">14. Dienests un Tiesu administrācija savstarpēji saskaņotās izmaiņas XML shēmu struktūrā vai prasībās publicē aģentūras pārziņā esošajā Valsts informācijas sistēmu </w:t>
            </w:r>
            <w:proofErr w:type="spellStart"/>
            <w:r w:rsidRPr="004D2DE2">
              <w:t>savietotāja</w:t>
            </w:r>
            <w:proofErr w:type="spellEnd"/>
            <w:r w:rsidRPr="004D2DE2">
              <w:t xml:space="preserve"> XML katalogā </w:t>
            </w:r>
            <w:r w:rsidRPr="004D2DE2">
              <w:rPr>
                <w:i/>
                <w:u w:val="single"/>
              </w:rPr>
              <w:t>ne vēlāk kā divus mēnešus pirms izmaiņu spēkā stāšanās</w:t>
            </w:r>
            <w:r w:rsidRPr="004D2DE2">
              <w:t xml:space="preserve">. Iestāde nodrošina datu izplatīšanas tīkla kanālā ievietotā rīkojuma noformēšanu, bet subjekts noformē paziņojumu atbilstoši jaunajai XML shēmu struktūrai un prasībām ar </w:t>
            </w:r>
            <w:r w:rsidRPr="004D2DE2">
              <w:lastRenderedPageBreak/>
              <w:t xml:space="preserve">datumu, kas aģentūras pārziņā esošajā Valsts informācijas sistēmu </w:t>
            </w:r>
            <w:proofErr w:type="spellStart"/>
            <w:r w:rsidRPr="004D2DE2">
              <w:t>savietotāja</w:t>
            </w:r>
            <w:proofErr w:type="spellEnd"/>
            <w:r w:rsidRPr="004D2DE2">
              <w:t xml:space="preserve"> XML katalogā publicētajā XML shēmas aprakstā norādīts kā izmaiņu spēkā stāšanās datums.</w:t>
            </w:r>
          </w:p>
        </w:tc>
        <w:tc>
          <w:tcPr>
            <w:tcW w:w="4252" w:type="dxa"/>
          </w:tcPr>
          <w:p w:rsidR="00A53C98" w:rsidRPr="00984006" w:rsidRDefault="00A53C98" w:rsidP="00A53C98">
            <w:pPr>
              <w:jc w:val="both"/>
              <w:rPr>
                <w:b/>
              </w:rPr>
            </w:pPr>
            <w:r>
              <w:rPr>
                <w:b/>
              </w:rPr>
              <w:lastRenderedPageBreak/>
              <w:t>Latvijas Finanšu nozares asociācija</w:t>
            </w:r>
          </w:p>
          <w:p w:rsidR="00A53C98" w:rsidRPr="00D313AE" w:rsidRDefault="00A53C98" w:rsidP="00A53C98">
            <w:pPr>
              <w:jc w:val="both"/>
            </w:pPr>
            <w:r w:rsidRPr="00D313AE">
              <w:t>4.</w:t>
            </w:r>
            <w:r w:rsidRPr="00D313AE">
              <w:tab/>
              <w:t xml:space="preserve">Aicinām papildināt 14. punktu ar Dienesta un Tiesu administrācijas pienākumu datu apmaiņā iesaistītās iestādes informēt par XML shēmu izmaiņām, nosūtot informāciju uz subjekta elektroniskā pasta adresi, tādējādi nodrošinot atbilstošas datu struktūras ziņojumu saņemšanu no subjektiem. Normatīvais regulējums nenosaka pienākumu subjektam ikdienā </w:t>
            </w:r>
            <w:proofErr w:type="spellStart"/>
            <w:r w:rsidRPr="00D313AE">
              <w:t>monitorēt</w:t>
            </w:r>
            <w:proofErr w:type="spellEnd"/>
            <w:r w:rsidRPr="00D313AE">
              <w:t xml:space="preserve"> XML shēmas izmaiņas, tādēļ lūdzam 14. punktu izteikt šādā redakcijā: </w:t>
            </w:r>
          </w:p>
          <w:p w:rsidR="00A53C98" w:rsidRPr="00984006" w:rsidRDefault="00A53C98" w:rsidP="001C1E53">
            <w:pPr>
              <w:jc w:val="both"/>
              <w:rPr>
                <w:b/>
              </w:rPr>
            </w:pPr>
            <w:r w:rsidRPr="00D313AE">
              <w:rPr>
                <w:i/>
              </w:rPr>
              <w:t xml:space="preserve">14. Dienests un Tiesu administrācija savstarpēji saskaņotās izmaiņas XML shēmu struktūrā vai prasībās publicē aģentūras pārziņā esošajā Valsts informācijas sistēmu </w:t>
            </w:r>
            <w:proofErr w:type="spellStart"/>
            <w:r w:rsidRPr="00D313AE">
              <w:rPr>
                <w:i/>
              </w:rPr>
              <w:t>savietotāja</w:t>
            </w:r>
            <w:proofErr w:type="spellEnd"/>
            <w:r w:rsidRPr="00D313AE">
              <w:rPr>
                <w:i/>
              </w:rPr>
              <w:t xml:space="preserve"> XML katalogā </w:t>
            </w:r>
            <w:r w:rsidRPr="004D2DE2">
              <w:rPr>
                <w:i/>
                <w:u w:val="single"/>
              </w:rPr>
              <w:t xml:space="preserve">ne vēlāk kā divus mēnešus pirms </w:t>
            </w:r>
            <w:r w:rsidRPr="004D2DE2">
              <w:rPr>
                <w:i/>
                <w:u w:val="single"/>
              </w:rPr>
              <w:lastRenderedPageBreak/>
              <w:t>izmaiņu spēkā stāšanās un informē par to subjektu, nosūtot informāciju uz 7.2. punktā norādīto elektronisko pasta adresi.</w:t>
            </w:r>
            <w:r w:rsidRPr="00D313AE">
              <w:rPr>
                <w:i/>
              </w:rPr>
              <w:t xml:space="preserve"> Iestāde nodrošina datu izplatīšanas tīkla kanālā ievietotā rīkojuma noformēšanu, bet subjekts noformē paziņojumu atbilstoši jaunajai XML shēmu struktūrai un prasībām ar datumu, kas aģentūras pārziņā esošajā Valsts informācijas sistēmu </w:t>
            </w:r>
            <w:proofErr w:type="spellStart"/>
            <w:r w:rsidRPr="00D313AE">
              <w:rPr>
                <w:i/>
              </w:rPr>
              <w:t>savietotāja</w:t>
            </w:r>
            <w:proofErr w:type="spellEnd"/>
            <w:r w:rsidRPr="00D313AE">
              <w:rPr>
                <w:i/>
              </w:rPr>
              <w:t xml:space="preserve"> XML katalogā publicētajā XML shēmas aprakstā norādīts kā izmaiņu spēkā stāšanās datums</w:t>
            </w:r>
            <w:r w:rsidRPr="00D313AE">
              <w:rPr>
                <w:b/>
                <w:i/>
              </w:rPr>
              <w:t>.</w:t>
            </w:r>
          </w:p>
        </w:tc>
        <w:tc>
          <w:tcPr>
            <w:tcW w:w="3828" w:type="dxa"/>
          </w:tcPr>
          <w:p w:rsidR="000A3B2F" w:rsidRDefault="00F8628F" w:rsidP="00B353EE">
            <w:pPr>
              <w:jc w:val="both"/>
              <w:rPr>
                <w:b/>
              </w:rPr>
            </w:pPr>
            <w:r>
              <w:rPr>
                <w:b/>
              </w:rPr>
              <w:lastRenderedPageBreak/>
              <w:t>Panākta vienošanās</w:t>
            </w:r>
          </w:p>
          <w:p w:rsidR="000A3B2F" w:rsidRDefault="000A3B2F" w:rsidP="00B353EE">
            <w:pPr>
              <w:jc w:val="both"/>
              <w:rPr>
                <w:b/>
              </w:rPr>
            </w:pPr>
          </w:p>
          <w:p w:rsidR="00B353EE" w:rsidRDefault="00B353EE" w:rsidP="00B353EE">
            <w:pPr>
              <w:jc w:val="both"/>
              <w:rPr>
                <w:b/>
              </w:rPr>
            </w:pPr>
            <w:r w:rsidRPr="00741FBD">
              <w:rPr>
                <w:b/>
              </w:rPr>
              <w:t>18.septembra starpinstitūciju sanāksmē ir panākta vienošanās</w:t>
            </w:r>
            <w:r>
              <w:rPr>
                <w:b/>
              </w:rPr>
              <w:t xml:space="preserve">, ka VID turpinās labo praksi attiecībā uz kredītiestāžu informēšanu par izmaiņām XML shēmā, grozījumi </w:t>
            </w:r>
            <w:r w:rsidR="00ED1534">
              <w:rPr>
                <w:b/>
              </w:rPr>
              <w:t xml:space="preserve">normatīvajā </w:t>
            </w:r>
            <w:r>
              <w:rPr>
                <w:b/>
              </w:rPr>
              <w:t xml:space="preserve">regulējumā nav nepieciešami. </w:t>
            </w:r>
          </w:p>
          <w:p w:rsidR="00A53C98" w:rsidRPr="00984006" w:rsidRDefault="00A53C98" w:rsidP="00A53C98">
            <w:pPr>
              <w:jc w:val="both"/>
              <w:rPr>
                <w:b/>
              </w:rPr>
            </w:pPr>
          </w:p>
        </w:tc>
        <w:tc>
          <w:tcPr>
            <w:tcW w:w="3686" w:type="dxa"/>
          </w:tcPr>
          <w:p w:rsidR="00A53C98" w:rsidRPr="002F6F19" w:rsidRDefault="00A53C98" w:rsidP="00A53C98">
            <w:pPr>
              <w:jc w:val="both"/>
              <w:rPr>
                <w:b/>
                <w:i/>
              </w:rPr>
            </w:pPr>
          </w:p>
        </w:tc>
      </w:tr>
      <w:tr w:rsidR="00A53C98" w:rsidRPr="00984006" w:rsidTr="00BA0343">
        <w:tc>
          <w:tcPr>
            <w:tcW w:w="576" w:type="dxa"/>
          </w:tcPr>
          <w:p w:rsidR="00A53C98" w:rsidRDefault="00AB76C2" w:rsidP="00A53C98">
            <w:r>
              <w:t>10</w:t>
            </w:r>
          </w:p>
        </w:tc>
        <w:tc>
          <w:tcPr>
            <w:tcW w:w="2963" w:type="dxa"/>
          </w:tcPr>
          <w:p w:rsidR="00A53C98" w:rsidRDefault="00A53C98" w:rsidP="00A53C98">
            <w:pPr>
              <w:jc w:val="both"/>
            </w:pPr>
            <w:r w:rsidRPr="00010B89">
              <w:rPr>
                <w:b/>
              </w:rPr>
              <w:t>Spēkā esošo Noteikumu</w:t>
            </w:r>
            <w:r>
              <w:rPr>
                <w:b/>
              </w:rPr>
              <w:t xml:space="preserve"> 17. un 18.punkts</w:t>
            </w:r>
          </w:p>
          <w:p w:rsidR="00A53C98" w:rsidRDefault="00A53C98" w:rsidP="00A53C98">
            <w:pPr>
              <w:jc w:val="both"/>
            </w:pPr>
            <w:r>
              <w:t>17. Dienests un zvērināti tiesu izpildītāji ievieto rīkojumus datu izplatīšanas tīklā un izgūst paziņojumus no tā jebkurā diennakts laikā.</w:t>
            </w:r>
          </w:p>
          <w:p w:rsidR="00A53C98" w:rsidRDefault="00A53C98" w:rsidP="00A53C98">
            <w:pPr>
              <w:jc w:val="both"/>
            </w:pPr>
          </w:p>
          <w:p w:rsidR="00A53C98" w:rsidRDefault="00A53C98" w:rsidP="00A53C98">
            <w:pPr>
              <w:jc w:val="both"/>
            </w:pPr>
            <w:r>
              <w:t>18. Subjektam ir pienākums nodrošināt dienesta un zvērinātu tiesu izpildītāju rīkojumu izgūšanu no datu izplatīšanas tīkla un paziņojumu ievietošanu tajā jebkurā diennakts laikā.</w:t>
            </w:r>
          </w:p>
        </w:tc>
        <w:tc>
          <w:tcPr>
            <w:tcW w:w="4252" w:type="dxa"/>
          </w:tcPr>
          <w:p w:rsidR="00A53C98" w:rsidRPr="00984006" w:rsidRDefault="00A53C98" w:rsidP="00A53C98">
            <w:pPr>
              <w:jc w:val="both"/>
              <w:rPr>
                <w:b/>
              </w:rPr>
            </w:pPr>
            <w:r>
              <w:rPr>
                <w:b/>
              </w:rPr>
              <w:t>Latvijas Finanšu nozares asociācija</w:t>
            </w:r>
          </w:p>
          <w:p w:rsidR="00A53C98" w:rsidRPr="00984006" w:rsidRDefault="00A53C98" w:rsidP="001C1E53">
            <w:pPr>
              <w:jc w:val="both"/>
              <w:rPr>
                <w:b/>
              </w:rPr>
            </w:pPr>
            <w:r w:rsidRPr="00702D12">
              <w:t>Asociācija un tās biedri nesaskata būtisku vajadzību MK noteikumu 17. un 18. punktā noteikt pienākumu nodrošināt paziņojumu un atbilžu izvietošanu datu izplatīšanas tīklā jebkurā diennakts laikā. Aicinām 18. punktā subjektam noteikt tiesības, bet ne pienākumu izgūt datus no datu izplatīšanas tīkla jebkurā diennakts laikā, pienākumu veikt šīs darbības nosakot darba dienās, darba laikā. Pretējā gadījumā MK noteikumu regulējums uzliek par pienākumu izstrādāt automātisku rīkojumu apstrādes procesu ik katram subjekta, arī tiem, kur izpildei pieņemto rīkojumu skaits ir neliels un automatizēta risinājuma izstrāde nav samērīga.</w:t>
            </w:r>
          </w:p>
        </w:tc>
        <w:tc>
          <w:tcPr>
            <w:tcW w:w="3828" w:type="dxa"/>
          </w:tcPr>
          <w:p w:rsidR="00ED1534" w:rsidRDefault="00F8628F" w:rsidP="00CF294D">
            <w:pPr>
              <w:jc w:val="both"/>
              <w:rPr>
                <w:b/>
              </w:rPr>
            </w:pPr>
            <w:r>
              <w:rPr>
                <w:b/>
              </w:rPr>
              <w:t>Panākta vienošanās</w:t>
            </w:r>
          </w:p>
          <w:p w:rsidR="00ED1534" w:rsidRDefault="00ED1534" w:rsidP="00CF294D">
            <w:pPr>
              <w:jc w:val="both"/>
              <w:rPr>
                <w:b/>
              </w:rPr>
            </w:pPr>
          </w:p>
          <w:p w:rsidR="00CF294D" w:rsidRDefault="00CF294D" w:rsidP="00CF294D">
            <w:pPr>
              <w:jc w:val="both"/>
              <w:rPr>
                <w:b/>
              </w:rPr>
            </w:pPr>
            <w:r w:rsidRPr="00741FBD">
              <w:rPr>
                <w:b/>
              </w:rPr>
              <w:t>18.septembra starpinstitūciju sanāksmē ir panākta vienošanās</w:t>
            </w:r>
            <w:r>
              <w:rPr>
                <w:b/>
              </w:rPr>
              <w:t xml:space="preserve">, ka </w:t>
            </w:r>
            <w:r w:rsidR="003145E6">
              <w:rPr>
                <w:b/>
              </w:rPr>
              <w:t>ņemot vērā, ka termiņi rīkojumu pieņemšanai izpildei ir noteikti Kredītiestāžu likuma 66.</w:t>
            </w:r>
            <w:r w:rsidR="003145E6" w:rsidRPr="003145E6">
              <w:rPr>
                <w:b/>
                <w:vertAlign w:val="superscript"/>
              </w:rPr>
              <w:t>2</w:t>
            </w:r>
            <w:r w:rsidR="003145E6">
              <w:rPr>
                <w:b/>
              </w:rPr>
              <w:t>pantā, noteikumos var paredzēt iespēju (nevis pienākumu) subjektiem nodrošināt sist</w:t>
            </w:r>
            <w:r w:rsidR="00742DB0">
              <w:rPr>
                <w:b/>
              </w:rPr>
              <w:t>ēmas darbību 24/7 režīmā</w:t>
            </w:r>
            <w:r>
              <w:rPr>
                <w:b/>
              </w:rPr>
              <w:t xml:space="preserve">. </w:t>
            </w:r>
          </w:p>
          <w:p w:rsidR="00A53C98" w:rsidRPr="00984006" w:rsidRDefault="00A53C98" w:rsidP="00A53C98">
            <w:pPr>
              <w:jc w:val="both"/>
              <w:rPr>
                <w:b/>
              </w:rPr>
            </w:pPr>
          </w:p>
        </w:tc>
        <w:tc>
          <w:tcPr>
            <w:tcW w:w="3686" w:type="dxa"/>
          </w:tcPr>
          <w:p w:rsidR="00742DB0" w:rsidRDefault="00742DB0" w:rsidP="00742DB0">
            <w:pPr>
              <w:jc w:val="both"/>
            </w:pPr>
            <w:r w:rsidRPr="002A11E4">
              <w:rPr>
                <w:b/>
                <w:szCs w:val="24"/>
              </w:rPr>
              <w:t>Noteikumu projekta 1.</w:t>
            </w:r>
            <w:r>
              <w:rPr>
                <w:b/>
                <w:szCs w:val="24"/>
              </w:rPr>
              <w:t>5.</w:t>
            </w:r>
            <w:r w:rsidRPr="002A11E4">
              <w:rPr>
                <w:b/>
                <w:szCs w:val="24"/>
              </w:rPr>
              <w:t xml:space="preserve"> apakšpunkts</w:t>
            </w:r>
            <w:r>
              <w:t xml:space="preserve"> </w:t>
            </w:r>
          </w:p>
          <w:p w:rsidR="00A53C98" w:rsidRPr="00742DB0" w:rsidRDefault="00ED1534" w:rsidP="00ED1534">
            <w:pPr>
              <w:jc w:val="both"/>
            </w:pPr>
            <w:r>
              <w:t>1.5. aizstāt 18. punktā vārdu “pienākums” ar vārdu “</w:t>
            </w:r>
            <w:r w:rsidR="00742DB0" w:rsidRPr="00742DB0">
              <w:t>tiesības”;</w:t>
            </w:r>
          </w:p>
        </w:tc>
      </w:tr>
      <w:tr w:rsidR="00981738" w:rsidRPr="00984006" w:rsidTr="00BA0343">
        <w:tc>
          <w:tcPr>
            <w:tcW w:w="576" w:type="dxa"/>
          </w:tcPr>
          <w:p w:rsidR="00981738" w:rsidRDefault="00281057" w:rsidP="00981738">
            <w:r>
              <w:lastRenderedPageBreak/>
              <w:t>1</w:t>
            </w:r>
            <w:r w:rsidR="00AB76C2">
              <w:t>1</w:t>
            </w:r>
          </w:p>
        </w:tc>
        <w:tc>
          <w:tcPr>
            <w:tcW w:w="2963" w:type="dxa"/>
          </w:tcPr>
          <w:p w:rsidR="00981738" w:rsidRDefault="00981738" w:rsidP="00981738">
            <w:pPr>
              <w:jc w:val="both"/>
            </w:pPr>
            <w:r w:rsidRPr="00010B89">
              <w:rPr>
                <w:b/>
              </w:rPr>
              <w:t>Spēkā esošo Noteikumu</w:t>
            </w:r>
            <w:r>
              <w:rPr>
                <w:b/>
              </w:rPr>
              <w:t xml:space="preserve"> 19.punkts un projekta 1.4.apakšpunkts</w:t>
            </w:r>
          </w:p>
          <w:p w:rsidR="00981738" w:rsidRDefault="00981738" w:rsidP="00981738">
            <w:pPr>
              <w:jc w:val="both"/>
            </w:pPr>
            <w:r w:rsidRPr="000C299D">
              <w:t xml:space="preserve">19. Subjekts pieņem izpildei dienesta un zvērinātu tiesu izpildītāju rīkojumus datu izplatīšanas tīklā </w:t>
            </w:r>
            <w:r w:rsidRPr="00096314">
              <w:rPr>
                <w:i/>
                <w:u w:val="single"/>
              </w:rPr>
              <w:t>piešķirto unikālo numuru secībā</w:t>
            </w:r>
            <w:r w:rsidRPr="000C299D">
              <w:t xml:space="preserve">, kurus veido rīkojuma datu izplatīšanas tīkla ievietošanas gads, mēnesis, diena, stunda, minūte, sekunde, </w:t>
            </w:r>
            <w:proofErr w:type="spellStart"/>
            <w:r w:rsidRPr="000C299D">
              <w:t>milisekunde</w:t>
            </w:r>
            <w:proofErr w:type="spellEnd"/>
            <w:r w:rsidRPr="000C299D">
              <w:t>.</w:t>
            </w:r>
          </w:p>
          <w:p w:rsidR="00981738" w:rsidRDefault="00981738" w:rsidP="00981738">
            <w:pPr>
              <w:jc w:val="both"/>
            </w:pPr>
          </w:p>
          <w:p w:rsidR="00981738" w:rsidRDefault="00981738" w:rsidP="00981738">
            <w:pPr>
              <w:jc w:val="both"/>
            </w:pPr>
            <w:r>
              <w:t>1.4. papildināt 19. punktu ar otro un trešo teikumu šādā redakcijā:</w:t>
            </w:r>
          </w:p>
          <w:p w:rsidR="00981738" w:rsidRDefault="00981738" w:rsidP="00981738">
            <w:pPr>
              <w:jc w:val="both"/>
            </w:pPr>
            <w:r>
              <w:t xml:space="preserve">“Dienesta rīkojumu par nodokļu maksātāja norēķinu operāciju apturēšanu izpilda, neievērojot datu izplatīšanas tīklā piešķirto unikālo numuru. Zvērinātu tiesu izpildītāju rīkojumu par naudas līdzekļu apmēra precizēšanu, ar kuru palielina sākotnējā (aizstājamā) rīkojumā norādītās naudas summas apmēru izpildu lietā par uzturlīdzekļu piedziņu bērnam vai vecākam, vai </w:t>
            </w:r>
            <w:r>
              <w:lastRenderedPageBreak/>
              <w:t xml:space="preserve">Uzturlīdzekļu garantijas fondam, pieņem izpildei datu izplatīšanas tīklā piešķirtā unikālā numura secībā, kuru veido sākotnējā (aizstājamā) rīkojuma datu izplatīšanas tīkla ievietošanas gads, mēnesis, diena, stunda, minūte, sekunde, </w:t>
            </w:r>
            <w:proofErr w:type="spellStart"/>
            <w:r>
              <w:t>milisekunde</w:t>
            </w:r>
            <w:proofErr w:type="spellEnd"/>
            <w:r>
              <w:t>.”;</w:t>
            </w:r>
          </w:p>
        </w:tc>
        <w:tc>
          <w:tcPr>
            <w:tcW w:w="4252" w:type="dxa"/>
          </w:tcPr>
          <w:p w:rsidR="00981738" w:rsidRDefault="00981738" w:rsidP="00981738">
            <w:pPr>
              <w:jc w:val="both"/>
              <w:rPr>
                <w:b/>
              </w:rPr>
            </w:pPr>
            <w:r>
              <w:rPr>
                <w:b/>
              </w:rPr>
              <w:lastRenderedPageBreak/>
              <w:t xml:space="preserve">Latvijas Finanšu nozares </w:t>
            </w:r>
          </w:p>
          <w:p w:rsidR="00981738" w:rsidRPr="00984006" w:rsidRDefault="00981738" w:rsidP="00981738">
            <w:pPr>
              <w:jc w:val="both"/>
              <w:rPr>
                <w:b/>
              </w:rPr>
            </w:pPr>
            <w:r>
              <w:rPr>
                <w:b/>
              </w:rPr>
              <w:t>asociācija</w:t>
            </w:r>
          </w:p>
          <w:p w:rsidR="00981738" w:rsidRPr="00E1144D" w:rsidRDefault="00981738" w:rsidP="00981738">
            <w:pPr>
              <w:jc w:val="both"/>
            </w:pPr>
            <w:r w:rsidRPr="00E1144D">
              <w:t>Dienesta vai zvērinātu tiesu izpildītāju izdota rīkojuma ietvaros var tikt norādītas vairākas darbības, tostarp, darbības par naudas līdzekļu apķīlāšanu, pārskaitīšanu, līdzekļu saglabāšanu u.c., taču rīkojumu un tajos ietverto darbību izpildes secību nosaka pirmtiesību rīkojuma unikālais numurs, kuru veido ievietošanas laiks datu izplatīšanas tīklā. Saskatām nepieciešamību šo kārtību ietvert MK noteikumos, izsakot noteikumu 19. punktu šādā redakcijā:</w:t>
            </w:r>
          </w:p>
          <w:p w:rsidR="00981738" w:rsidRPr="00984006" w:rsidRDefault="00981738" w:rsidP="001C1E53">
            <w:pPr>
              <w:jc w:val="both"/>
              <w:rPr>
                <w:b/>
              </w:rPr>
            </w:pPr>
            <w:r w:rsidRPr="000C299D">
              <w:rPr>
                <w:i/>
              </w:rPr>
              <w:t xml:space="preserve">19. Subjekts pieņem izpildei dienesta un zvērinātu tiesu izpildītāju rīkojumus datu izplatīšanas tīklā </w:t>
            </w:r>
            <w:r w:rsidRPr="00096314">
              <w:rPr>
                <w:i/>
                <w:u w:val="single"/>
              </w:rPr>
              <w:t>pirmtiesību rīkojumiem piešķirto unikālo numuru secībā</w:t>
            </w:r>
            <w:r w:rsidRPr="000C299D">
              <w:rPr>
                <w:i/>
              </w:rPr>
              <w:t xml:space="preserve">, kurus veido rīkojuma datu izplatīšanas tīkla ievietošanas gads, mēnesis, diena, stunda, minūte, sekunde, </w:t>
            </w:r>
            <w:proofErr w:type="spellStart"/>
            <w:r w:rsidRPr="000C299D">
              <w:rPr>
                <w:i/>
              </w:rPr>
              <w:t>milisekunde</w:t>
            </w:r>
            <w:proofErr w:type="spellEnd"/>
            <w:r w:rsidRPr="000C299D">
              <w:rPr>
                <w:i/>
              </w:rPr>
              <w:t xml:space="preserve">. Dienesta rīkojumu par nodokļu maksātāja norēķinu operāciju apturēšanu izpilda, neievērojot datu izplatīšanas tīklā piešķirto unikālo numuru. Zvērinātu tiesu izpildītāju rīkojumu par naudas līdzekļu apmēra precizēšanu, ar kuru palielina sākotnējā (aizstājamā) rīkojumā norādītās naudas summas apmēru izpildu lietā par uzturlīdzekļu piedziņu bērnam vai vecākam, vai Uzturlīdzekļu garantijas fondam, pieņem izpildei datu izplatīšanas </w:t>
            </w:r>
            <w:r w:rsidRPr="000C299D">
              <w:rPr>
                <w:i/>
              </w:rPr>
              <w:lastRenderedPageBreak/>
              <w:t xml:space="preserve">tīklā piešķirtā unikālā numura secībā, kuru veido sākotnējā (aizstājamā) rīkojuma datu izplatīšanas tīkla ievietošanas gads, mēnesis, diena, stunda, minūte, sekunde, </w:t>
            </w:r>
            <w:proofErr w:type="spellStart"/>
            <w:r w:rsidRPr="000C299D">
              <w:rPr>
                <w:i/>
              </w:rPr>
              <w:t>milisekunde</w:t>
            </w:r>
            <w:proofErr w:type="spellEnd"/>
            <w:r w:rsidRPr="000C299D">
              <w:rPr>
                <w:i/>
              </w:rPr>
              <w:t>.</w:t>
            </w:r>
          </w:p>
        </w:tc>
        <w:tc>
          <w:tcPr>
            <w:tcW w:w="3828" w:type="dxa"/>
          </w:tcPr>
          <w:p w:rsidR="00ED1534" w:rsidRDefault="00F8628F" w:rsidP="00CF294D">
            <w:pPr>
              <w:jc w:val="both"/>
              <w:rPr>
                <w:b/>
              </w:rPr>
            </w:pPr>
            <w:r>
              <w:rPr>
                <w:b/>
              </w:rPr>
              <w:lastRenderedPageBreak/>
              <w:t>Panākta vienošanās</w:t>
            </w:r>
          </w:p>
          <w:p w:rsidR="00ED1534" w:rsidRDefault="00ED1534" w:rsidP="00CF294D">
            <w:pPr>
              <w:jc w:val="both"/>
              <w:rPr>
                <w:b/>
              </w:rPr>
            </w:pPr>
          </w:p>
          <w:p w:rsidR="00CF294D" w:rsidRDefault="00CF294D" w:rsidP="00CF294D">
            <w:pPr>
              <w:jc w:val="both"/>
              <w:rPr>
                <w:b/>
              </w:rPr>
            </w:pPr>
            <w:r w:rsidRPr="00741FBD">
              <w:rPr>
                <w:b/>
              </w:rPr>
              <w:t>18.septembra starpinstitūciju sanāksmē ir panākta vienošanās</w:t>
            </w:r>
            <w:r>
              <w:rPr>
                <w:b/>
              </w:rPr>
              <w:t xml:space="preserve">, ka grozījumi </w:t>
            </w:r>
            <w:r w:rsidR="00ED1534">
              <w:rPr>
                <w:b/>
              </w:rPr>
              <w:t xml:space="preserve">normatīvajā </w:t>
            </w:r>
            <w:r>
              <w:rPr>
                <w:b/>
              </w:rPr>
              <w:t xml:space="preserve">regulējumā nav nepieciešami. </w:t>
            </w:r>
          </w:p>
          <w:p w:rsidR="00981738" w:rsidRPr="00984006" w:rsidRDefault="00981738" w:rsidP="00981738">
            <w:pPr>
              <w:jc w:val="both"/>
              <w:rPr>
                <w:b/>
              </w:rPr>
            </w:pPr>
          </w:p>
        </w:tc>
        <w:tc>
          <w:tcPr>
            <w:tcW w:w="3686" w:type="dxa"/>
          </w:tcPr>
          <w:p w:rsidR="00981738" w:rsidRPr="002F6F19" w:rsidRDefault="00981738" w:rsidP="00981738">
            <w:pPr>
              <w:jc w:val="both"/>
              <w:rPr>
                <w:b/>
                <w:i/>
              </w:rPr>
            </w:pPr>
          </w:p>
        </w:tc>
      </w:tr>
      <w:tr w:rsidR="006C7531" w:rsidRPr="00984006" w:rsidTr="00BA0343">
        <w:tc>
          <w:tcPr>
            <w:tcW w:w="576" w:type="dxa"/>
          </w:tcPr>
          <w:p w:rsidR="006C7531" w:rsidRDefault="00281057" w:rsidP="00981738">
            <w:r>
              <w:t>1</w:t>
            </w:r>
            <w:r w:rsidR="00AB76C2">
              <w:t>2</w:t>
            </w:r>
          </w:p>
        </w:tc>
        <w:tc>
          <w:tcPr>
            <w:tcW w:w="2963" w:type="dxa"/>
          </w:tcPr>
          <w:p w:rsidR="00632D07" w:rsidRDefault="00632D07" w:rsidP="00632D07">
            <w:pPr>
              <w:jc w:val="both"/>
            </w:pPr>
            <w:r w:rsidRPr="002A11E4">
              <w:rPr>
                <w:b/>
                <w:szCs w:val="24"/>
              </w:rPr>
              <w:t xml:space="preserve">Noteikumu projekta </w:t>
            </w:r>
            <w:r>
              <w:rPr>
                <w:b/>
                <w:szCs w:val="24"/>
              </w:rPr>
              <w:t>2.</w:t>
            </w:r>
            <w:r w:rsidRPr="002A11E4">
              <w:rPr>
                <w:b/>
                <w:szCs w:val="24"/>
              </w:rPr>
              <w:t xml:space="preserve"> punkts</w:t>
            </w:r>
            <w:r>
              <w:t xml:space="preserve"> </w:t>
            </w:r>
          </w:p>
          <w:p w:rsidR="006C7531" w:rsidRPr="001F1C3E" w:rsidRDefault="00632D07" w:rsidP="00632D07">
            <w:pPr>
              <w:jc w:val="both"/>
            </w:pPr>
            <w:r w:rsidRPr="001F1C3E">
              <w:t>2. Šo noteikumu 1.4. apakšpunkts stājas spēkā 2020. gada 1. martā.</w:t>
            </w:r>
          </w:p>
        </w:tc>
        <w:tc>
          <w:tcPr>
            <w:tcW w:w="4252" w:type="dxa"/>
          </w:tcPr>
          <w:p w:rsidR="00632D07" w:rsidRPr="00984006" w:rsidRDefault="00632D07" w:rsidP="00632D07">
            <w:pPr>
              <w:jc w:val="both"/>
              <w:rPr>
                <w:b/>
              </w:rPr>
            </w:pPr>
            <w:r>
              <w:rPr>
                <w:b/>
              </w:rPr>
              <w:t>Latvijas Finanšu nozares asociācija (elektroniskās saskaņošanas</w:t>
            </w:r>
            <w:r w:rsidR="001F1C3E">
              <w:rPr>
                <w:b/>
              </w:rPr>
              <w:t xml:space="preserve"> (18.09.2019)</w:t>
            </w:r>
            <w:r>
              <w:rPr>
                <w:b/>
              </w:rPr>
              <w:t xml:space="preserve"> laikā izteiktais priekšlikums)</w:t>
            </w:r>
          </w:p>
          <w:p w:rsidR="006C7531" w:rsidRPr="001F1C3E" w:rsidRDefault="0086263C" w:rsidP="008E20A3">
            <w:pPr>
              <w:jc w:val="both"/>
            </w:pPr>
            <w:r>
              <w:t>N</w:t>
            </w:r>
            <w:r w:rsidR="00632D07" w:rsidRPr="001F1C3E">
              <w:t>epieciešamais laiks XML shēmas izmaiņu veikšanai norādīti 6 - 8 mēneši, plānojot papildinātas XML shēmas publicēšanu 2020.gada 1.janvārī un izmaiņu ieviešanu, sākot ar 2020.gada 1.</w:t>
            </w:r>
            <w:r w:rsidR="008E20A3" w:rsidRPr="008E20A3">
              <w:t>martu. Ņemot vērā līdz 2020.</w:t>
            </w:r>
            <w:r w:rsidR="00632D07" w:rsidRPr="001F1C3E">
              <w:t xml:space="preserve">gada 1.janvārim atlikušos trīs mēnešus, Asociācija aicina izvērtēt Anotācijā minēto termiņu reālo sasniedzamību, vienlaikus ievērojot MK Noteikumu 14. punktā noteiktos divus mēnešus no XML shēmu publicēšanas brīža līdz ieviešanai produkcijā.   </w:t>
            </w:r>
          </w:p>
        </w:tc>
        <w:tc>
          <w:tcPr>
            <w:tcW w:w="3828" w:type="dxa"/>
          </w:tcPr>
          <w:p w:rsidR="006C7531" w:rsidRDefault="0086263C" w:rsidP="00CF294D">
            <w:pPr>
              <w:jc w:val="both"/>
              <w:rPr>
                <w:b/>
              </w:rPr>
            </w:pPr>
            <w:r>
              <w:rPr>
                <w:b/>
              </w:rPr>
              <w:t>Ņemts vērā</w:t>
            </w:r>
          </w:p>
        </w:tc>
        <w:tc>
          <w:tcPr>
            <w:tcW w:w="3686" w:type="dxa"/>
          </w:tcPr>
          <w:p w:rsidR="00632D07" w:rsidRDefault="00632D07" w:rsidP="00632D07">
            <w:pPr>
              <w:jc w:val="both"/>
            </w:pPr>
            <w:r w:rsidRPr="002A11E4">
              <w:rPr>
                <w:b/>
                <w:szCs w:val="24"/>
              </w:rPr>
              <w:t xml:space="preserve">Noteikumu projekta </w:t>
            </w:r>
            <w:r>
              <w:rPr>
                <w:b/>
                <w:szCs w:val="24"/>
              </w:rPr>
              <w:t>2.</w:t>
            </w:r>
            <w:r w:rsidRPr="002A11E4">
              <w:rPr>
                <w:b/>
                <w:szCs w:val="24"/>
              </w:rPr>
              <w:t xml:space="preserve"> punkts</w:t>
            </w:r>
            <w:r>
              <w:t xml:space="preserve"> </w:t>
            </w:r>
          </w:p>
          <w:p w:rsidR="00632D07" w:rsidRPr="001F1C3E" w:rsidRDefault="00632D07" w:rsidP="001F1C3E">
            <w:pPr>
              <w:jc w:val="both"/>
              <w:rPr>
                <w:szCs w:val="24"/>
              </w:rPr>
            </w:pPr>
            <w:r w:rsidRPr="001F1C3E">
              <w:rPr>
                <w:szCs w:val="24"/>
              </w:rPr>
              <w:t>2. Šo noteikumu 1.4. apakšpunkts stājas spēkā 2020. gada 1. jūlijā.</w:t>
            </w:r>
          </w:p>
          <w:p w:rsidR="006C7531" w:rsidRDefault="006C7531" w:rsidP="00ED1534">
            <w:pPr>
              <w:jc w:val="both"/>
            </w:pPr>
          </w:p>
        </w:tc>
      </w:tr>
      <w:tr w:rsidR="00920711" w:rsidRPr="00984006" w:rsidTr="00BA0343">
        <w:tc>
          <w:tcPr>
            <w:tcW w:w="576" w:type="dxa"/>
          </w:tcPr>
          <w:p w:rsidR="00920711" w:rsidRDefault="00920711" w:rsidP="00981738">
            <w:r>
              <w:t>1</w:t>
            </w:r>
            <w:r w:rsidR="00AB76C2">
              <w:t>3</w:t>
            </w:r>
          </w:p>
        </w:tc>
        <w:tc>
          <w:tcPr>
            <w:tcW w:w="2963" w:type="dxa"/>
            <w:vMerge w:val="restart"/>
          </w:tcPr>
          <w:p w:rsidR="00920711" w:rsidRPr="00BB5380" w:rsidRDefault="00920711" w:rsidP="00981738">
            <w:pPr>
              <w:jc w:val="both"/>
              <w:rPr>
                <w:b/>
              </w:rPr>
            </w:pPr>
            <w:r w:rsidRPr="00BB5380">
              <w:rPr>
                <w:b/>
              </w:rPr>
              <w:t xml:space="preserve">Konceptuāli </w:t>
            </w:r>
            <w:r>
              <w:rPr>
                <w:b/>
              </w:rPr>
              <w:t xml:space="preserve">- </w:t>
            </w:r>
            <w:r w:rsidRPr="00BB5380">
              <w:rPr>
                <w:b/>
              </w:rPr>
              <w:t>kļūdu kodi</w:t>
            </w:r>
          </w:p>
          <w:p w:rsidR="00920711" w:rsidRDefault="00920711" w:rsidP="00981738">
            <w:pPr>
              <w:jc w:val="both"/>
            </w:pPr>
            <w:r>
              <w:t>Anotācijas I sadaļas 2.punkts</w:t>
            </w:r>
          </w:p>
          <w:p w:rsidR="00920711" w:rsidRDefault="00920711" w:rsidP="00981738">
            <w:pPr>
              <w:jc w:val="both"/>
            </w:pPr>
            <w:r>
              <w:t xml:space="preserve">Uz šo brīdi VID, FNA un Tiesu administrācija ir </w:t>
            </w:r>
            <w:r>
              <w:lastRenderedPageBreak/>
              <w:t>konstatējusi vairākas satura neatbilstības, par kurām turpmāk būs jāziņo, izmantojot DIT (šobrīd saziņa par neatbilstībām notiek, izmantojot elektroniskā pasta adresi):</w:t>
            </w:r>
          </w:p>
          <w:p w:rsidR="00920711" w:rsidRDefault="00920711" w:rsidP="00981738">
            <w:pPr>
              <w:jc w:val="both"/>
            </w:pPr>
            <w:r>
              <w:t>- personai nav piedziņai pakļautu kontu vai konti ir slēgti (norādot konta slēgšanas datumu);</w:t>
            </w:r>
          </w:p>
          <w:p w:rsidR="00920711" w:rsidRDefault="00920711" w:rsidP="00981738">
            <w:pPr>
              <w:jc w:val="both"/>
            </w:pPr>
            <w:r>
              <w:t>- persona ir mirusi/likvidēta;</w:t>
            </w:r>
          </w:p>
          <w:p w:rsidR="00920711" w:rsidRDefault="00920711" w:rsidP="00981738">
            <w:pPr>
              <w:jc w:val="both"/>
            </w:pPr>
            <w:r>
              <w:t>- persona nav kredītiestādes vai maksājumu pakalpojumu sniedzēja klients;</w:t>
            </w:r>
          </w:p>
          <w:p w:rsidR="00920711" w:rsidRDefault="00920711" w:rsidP="00981738">
            <w:pPr>
              <w:jc w:val="both"/>
            </w:pPr>
            <w:r>
              <w:t>- rīkojumā par naudas līdzekļu pārskaitīšanu norādītais pirmtiesības numurs nesakrīt ar iepriekš paziņotajā saistītajā rīkojumā par naudas līdzekļu apķīlāšanu norādīto;</w:t>
            </w:r>
          </w:p>
          <w:p w:rsidR="00920711" w:rsidRDefault="00920711" w:rsidP="00981738">
            <w:pPr>
              <w:jc w:val="both"/>
            </w:pPr>
            <w:r>
              <w:t>- pirmtiesības numurs nav saistošs rīkojumā par naudas līdzekļu pārskaitīšanu norādītajai personai;</w:t>
            </w:r>
          </w:p>
          <w:p w:rsidR="00920711" w:rsidRDefault="00920711" w:rsidP="00981738">
            <w:pPr>
              <w:jc w:val="both"/>
            </w:pPr>
            <w:r>
              <w:t xml:space="preserve">- rīkojumā par norēķinu operāciju atjaunošanu norādītais datums un dokumenta numurs nav attiecināms uz rīkojuma par </w:t>
            </w:r>
            <w:r>
              <w:lastRenderedPageBreak/>
              <w:t>nodokļu maksātāja norēķinu operāciju apturēšanu datumu un dokumenta numuru;</w:t>
            </w:r>
          </w:p>
          <w:p w:rsidR="00920711" w:rsidRDefault="00920711" w:rsidP="00981738">
            <w:pPr>
              <w:jc w:val="both"/>
            </w:pPr>
            <w:r>
              <w:t>- rīkojums ar konkrēto numuru jau eksistē;</w:t>
            </w:r>
          </w:p>
          <w:p w:rsidR="00920711" w:rsidRDefault="00920711" w:rsidP="00981738">
            <w:pPr>
              <w:jc w:val="both"/>
            </w:pPr>
            <w:r>
              <w:t>- ar vienu darbību atsaukti vairāki rīkojumi;</w:t>
            </w:r>
          </w:p>
          <w:p w:rsidR="00920711" w:rsidRDefault="00920711" w:rsidP="00981738">
            <w:pPr>
              <w:jc w:val="both"/>
            </w:pPr>
            <w:r>
              <w:t>- atceļ fiksētu summu/summu procentos;</w:t>
            </w:r>
          </w:p>
          <w:p w:rsidR="00920711" w:rsidRDefault="00920711" w:rsidP="00981738">
            <w:pPr>
              <w:jc w:val="both"/>
            </w:pPr>
            <w:r>
              <w:t>- atceļ neeksistējošu summu;</w:t>
            </w:r>
          </w:p>
          <w:p w:rsidR="00920711" w:rsidRDefault="00920711" w:rsidP="00981738">
            <w:pPr>
              <w:jc w:val="both"/>
            </w:pPr>
            <w:r>
              <w:t>- nekorekti norādīts atceļamais rīkojums;</w:t>
            </w:r>
          </w:p>
          <w:p w:rsidR="00920711" w:rsidRDefault="00920711" w:rsidP="00981738">
            <w:pPr>
              <w:jc w:val="both"/>
            </w:pPr>
            <w:r>
              <w:t>- rīkojums nav atrasts;</w:t>
            </w:r>
          </w:p>
          <w:p w:rsidR="00920711" w:rsidRDefault="00920711" w:rsidP="00981738">
            <w:pPr>
              <w:jc w:val="both"/>
            </w:pPr>
            <w:r>
              <w:t>- nekorekta darbību secība;</w:t>
            </w:r>
          </w:p>
          <w:p w:rsidR="00920711" w:rsidRDefault="00920711" w:rsidP="00981738">
            <w:pPr>
              <w:jc w:val="both"/>
            </w:pPr>
            <w:r>
              <w:t>- summa pārsniedz pirmtiesības rīkojumā norādīto summu;</w:t>
            </w:r>
          </w:p>
          <w:p w:rsidR="00920711" w:rsidRDefault="00920711" w:rsidP="00981738">
            <w:pPr>
              <w:jc w:val="both"/>
            </w:pPr>
            <w:r>
              <w:t>- rīkojums ir atcelts/izpildīts/slēgts.</w:t>
            </w:r>
          </w:p>
        </w:tc>
        <w:tc>
          <w:tcPr>
            <w:tcW w:w="4252" w:type="dxa"/>
          </w:tcPr>
          <w:p w:rsidR="00920711" w:rsidRPr="00984006" w:rsidRDefault="00920711" w:rsidP="00981738">
            <w:pPr>
              <w:jc w:val="both"/>
              <w:rPr>
                <w:b/>
              </w:rPr>
            </w:pPr>
            <w:r>
              <w:rPr>
                <w:b/>
              </w:rPr>
              <w:lastRenderedPageBreak/>
              <w:t>Latvijas Finanšu nozares asociācija</w:t>
            </w:r>
          </w:p>
          <w:p w:rsidR="00920711" w:rsidRDefault="00920711" w:rsidP="00981738">
            <w:pPr>
              <w:jc w:val="both"/>
            </w:pPr>
            <w:r w:rsidRPr="00E01BC3">
              <w:t xml:space="preserve">Komentāri par Anotācijā iekļauto, priekšlikumi un papildinājumi pievienoti vēstules pielikumā (iestrādāti </w:t>
            </w:r>
            <w:proofErr w:type="spellStart"/>
            <w:r w:rsidRPr="00E01BC3">
              <w:t>Truck</w:t>
            </w:r>
            <w:proofErr w:type="spellEnd"/>
            <w:r w:rsidRPr="00E01BC3">
              <w:t xml:space="preserve"> </w:t>
            </w:r>
            <w:proofErr w:type="spellStart"/>
            <w:r w:rsidRPr="00E01BC3">
              <w:t>change</w:t>
            </w:r>
            <w:proofErr w:type="spellEnd"/>
            <w:r w:rsidRPr="00E01BC3">
              <w:t xml:space="preserve"> režīmā). Aicinām ar tiem </w:t>
            </w:r>
            <w:r w:rsidRPr="00E01BC3">
              <w:lastRenderedPageBreak/>
              <w:t>iepazīties un ņemt vērā virzot apstiprināšanai Grozījumu projektu.</w:t>
            </w:r>
          </w:p>
          <w:p w:rsidR="00920711" w:rsidRDefault="00920711" w:rsidP="00981738">
            <w:pPr>
              <w:jc w:val="both"/>
            </w:pPr>
            <w:r>
              <w:t>1. Kļūdu kodu veidi un ieviešanas iespējas nav pārrunātas un savstarpēji saskaņotas. Anotācijā iekļautais ir secinājumi no pirmā darbības mēneša, attiecīgi nav korekti tos iekļaut kā obligāti ieviešamus. Aicinām anotācijā norādīt uz iespēju, nevis noteikt pienākumu.</w:t>
            </w:r>
          </w:p>
          <w:p w:rsidR="00920711" w:rsidRDefault="00920711" w:rsidP="00981738">
            <w:pPr>
              <w:jc w:val="both"/>
            </w:pPr>
            <w:r>
              <w:t>2. Papildus minētajam, vēlamies norādīt uz vēl citiem iespējamiem kļūdu kodu veidiem par sekojošām situācijām:</w:t>
            </w:r>
          </w:p>
          <w:p w:rsidR="00920711" w:rsidRDefault="00920711" w:rsidP="00981738">
            <w:pPr>
              <w:jc w:val="both"/>
            </w:pPr>
            <w:r>
              <w:t>a) pārskaitīšanas darbības izpilde nav iespējama, jo rīkojuma darbības laiks ir beidzies, t.i., pagājis 5 darba dienu termiņš pēc apķīlāšanas rīkojuma saņemšanas, kuru laikā nav sekojis rīkojums par nākamo darbību;</w:t>
            </w:r>
          </w:p>
          <w:p w:rsidR="00920711" w:rsidRDefault="00920711" w:rsidP="00981738">
            <w:pPr>
              <w:jc w:val="both"/>
            </w:pPr>
            <w:r>
              <w:t>b) nevar tikt pieņemtas izmaiņas rīkojumā, jo rīkojuma izpilde pabeigta.</w:t>
            </w:r>
          </w:p>
          <w:p w:rsidR="00920711" w:rsidRDefault="00920711" w:rsidP="00981738">
            <w:pPr>
              <w:jc w:val="both"/>
            </w:pPr>
            <w:r>
              <w:t>Rekomendējam izstrādāt kļūdas kodu “Citi” ar iespēju pievienot skaidrojošu tekstu ar problēmas raksturojumu.</w:t>
            </w:r>
          </w:p>
          <w:p w:rsidR="00920711" w:rsidRDefault="00920711" w:rsidP="00981738">
            <w:pPr>
              <w:rPr>
                <w:b/>
              </w:rPr>
            </w:pPr>
          </w:p>
          <w:p w:rsidR="00920711" w:rsidRPr="00984006" w:rsidRDefault="00920711" w:rsidP="001F1C3E">
            <w:pPr>
              <w:jc w:val="both"/>
              <w:rPr>
                <w:b/>
              </w:rPr>
            </w:pPr>
          </w:p>
        </w:tc>
        <w:tc>
          <w:tcPr>
            <w:tcW w:w="3828" w:type="dxa"/>
          </w:tcPr>
          <w:p w:rsidR="00920711" w:rsidRDefault="00F8628F" w:rsidP="00CF294D">
            <w:pPr>
              <w:jc w:val="both"/>
              <w:rPr>
                <w:b/>
              </w:rPr>
            </w:pPr>
            <w:r>
              <w:rPr>
                <w:b/>
              </w:rPr>
              <w:lastRenderedPageBreak/>
              <w:t>Panākta vienošanās</w:t>
            </w:r>
          </w:p>
          <w:p w:rsidR="00920711" w:rsidRDefault="00920711" w:rsidP="00CF294D">
            <w:pPr>
              <w:jc w:val="both"/>
              <w:rPr>
                <w:b/>
              </w:rPr>
            </w:pPr>
          </w:p>
          <w:p w:rsidR="00920711" w:rsidRDefault="00920711" w:rsidP="00CF294D">
            <w:pPr>
              <w:jc w:val="both"/>
              <w:rPr>
                <w:b/>
              </w:rPr>
            </w:pPr>
            <w:r w:rsidRPr="00741FBD">
              <w:rPr>
                <w:b/>
              </w:rPr>
              <w:t>18.septembra starpinstitūciju sanāksmē ir panākta vienošanās</w:t>
            </w:r>
            <w:r>
              <w:rPr>
                <w:b/>
              </w:rPr>
              <w:t xml:space="preserve">, </w:t>
            </w:r>
            <w:r>
              <w:rPr>
                <w:b/>
              </w:rPr>
              <w:lastRenderedPageBreak/>
              <w:t>ka projekta anotācijā tiks iekļauta precizēta/papildu informācija.</w:t>
            </w:r>
          </w:p>
          <w:p w:rsidR="00920711" w:rsidRDefault="00920711" w:rsidP="00822A9E">
            <w:pPr>
              <w:jc w:val="both"/>
            </w:pPr>
            <w:r>
              <w:rPr>
                <w:b/>
              </w:rPr>
              <w:t xml:space="preserve"> </w:t>
            </w:r>
            <w:r>
              <w:t>Turklāt puses vienojās, nepieciešamības gadījumā turpināt diskusijas par kļūdu kodiem, nepieciešamību noteikt “0 paziņojumu” un paziņotā paziņojuma “kļūdu kods” anulēšanu (gadījumā, ja tās nosūtīts kļūdaini) izmaiņu XML shēmā saskaņošanas laikā.</w:t>
            </w: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Default="00920711" w:rsidP="00CF294D">
            <w:pPr>
              <w:jc w:val="both"/>
              <w:rPr>
                <w:b/>
              </w:rPr>
            </w:pPr>
          </w:p>
          <w:p w:rsidR="00920711" w:rsidRPr="00984006" w:rsidRDefault="00920711" w:rsidP="00920711">
            <w:pPr>
              <w:jc w:val="both"/>
              <w:rPr>
                <w:b/>
              </w:rPr>
            </w:pPr>
          </w:p>
        </w:tc>
        <w:tc>
          <w:tcPr>
            <w:tcW w:w="3686" w:type="dxa"/>
            <w:vMerge w:val="restart"/>
          </w:tcPr>
          <w:p w:rsidR="00920711" w:rsidRDefault="00920711" w:rsidP="00ED1534">
            <w:pPr>
              <w:jc w:val="both"/>
            </w:pPr>
            <w:r>
              <w:lastRenderedPageBreak/>
              <w:t>Projekta anotācijā ir precizēta informācija:</w:t>
            </w:r>
          </w:p>
          <w:p w:rsidR="00920711" w:rsidRPr="00ED1534" w:rsidRDefault="00920711" w:rsidP="00ED1534">
            <w:pPr>
              <w:jc w:val="both"/>
            </w:pPr>
            <w:r w:rsidRPr="00ED1534">
              <w:t xml:space="preserve">Uz šo brīdi VID, FNA un Tiesu administrācija ir konstatējusi šādas satura neatbilstības, par kurām </w:t>
            </w:r>
            <w:r w:rsidRPr="00ED1534">
              <w:lastRenderedPageBreak/>
              <w:t>paziņojumi tiks nosūtīti DIT, izmantojot speciāli paredzētus kļūdu kodus (šobrīd saziņa par neatbilstībām notiek, izmantojot elektroniskā pasta adresi):</w:t>
            </w:r>
          </w:p>
          <w:p w:rsidR="00920711" w:rsidRPr="00ED1534" w:rsidRDefault="00920711" w:rsidP="00ED1534">
            <w:pPr>
              <w:jc w:val="both"/>
            </w:pPr>
            <w:r w:rsidRPr="00ED1534">
              <w:t>- persona nav klients;</w:t>
            </w:r>
          </w:p>
          <w:p w:rsidR="00920711" w:rsidRPr="00ED1534" w:rsidRDefault="00920711" w:rsidP="00ED1534">
            <w:pPr>
              <w:jc w:val="both"/>
            </w:pPr>
            <w:r w:rsidRPr="00ED1534">
              <w:t>- personai nav piedziņai pakļautu kontu vai konti ir slēgti;</w:t>
            </w:r>
          </w:p>
          <w:p w:rsidR="00920711" w:rsidRPr="00ED1534" w:rsidRDefault="00920711" w:rsidP="00ED1534">
            <w:pPr>
              <w:jc w:val="both"/>
            </w:pPr>
            <w:r w:rsidRPr="00ED1534">
              <w:t>- rīkojumā par naudas līdzekļu pārskaitīšanu norādītais pirmtiesības numurs nesakrīt ar iepriekš paziņotajam sākotnējam (aizstājamam) rīkojumam noteikto pirmtiesības numuru;</w:t>
            </w:r>
          </w:p>
          <w:p w:rsidR="00920711" w:rsidRPr="00ED1534" w:rsidRDefault="00920711" w:rsidP="00ED1534">
            <w:pPr>
              <w:jc w:val="both"/>
            </w:pPr>
            <w:r w:rsidRPr="00ED1534">
              <w:t>- summa pārsniedz iepriekš paziņotajā sākotnējā (aizstājamā) rīkojumā norādīto summu (izņemot uzturlīdzekļu piedziņas lietas);</w:t>
            </w:r>
          </w:p>
          <w:p w:rsidR="00920711" w:rsidRPr="00ED1534" w:rsidRDefault="00920711" w:rsidP="00ED1534">
            <w:pPr>
              <w:jc w:val="both"/>
            </w:pPr>
            <w:r w:rsidRPr="00ED1534">
              <w:t>- rīkojums ir atcelts/izpildīts/slēgts;</w:t>
            </w:r>
          </w:p>
          <w:p w:rsidR="00920711" w:rsidRPr="00ED1534" w:rsidRDefault="00920711" w:rsidP="00ED1534">
            <w:pPr>
              <w:jc w:val="both"/>
            </w:pPr>
            <w:r w:rsidRPr="00ED1534">
              <w:t>- pārskaitīšana nav iespējama, jo rīkojuma par naudas līdzekļu apķīlāšanu izpilde ir izbeigta, jo notecējis apķīlāšanas darbībām noteiktais termiņš (5 darbdienas pēc tam, kad kredītiestādes paziņojums par rīkojuma izpildi ir paziņots);</w:t>
            </w:r>
          </w:p>
          <w:p w:rsidR="00920711" w:rsidRPr="00ED1534" w:rsidRDefault="00920711" w:rsidP="00ED1534">
            <w:pPr>
              <w:jc w:val="both"/>
            </w:pPr>
            <w:r w:rsidRPr="00ED1534">
              <w:t>-“Cits” – izņēmumu gadījumā, ja situācijai neatbilst neviens no iepriekš minētajiem kļūdu kodiem.</w:t>
            </w:r>
          </w:p>
        </w:tc>
      </w:tr>
      <w:tr w:rsidR="00920711" w:rsidRPr="00984006" w:rsidTr="00BA0343">
        <w:tc>
          <w:tcPr>
            <w:tcW w:w="576" w:type="dxa"/>
          </w:tcPr>
          <w:p w:rsidR="00920711" w:rsidDel="00632D07" w:rsidRDefault="00920711" w:rsidP="00981738">
            <w:r>
              <w:lastRenderedPageBreak/>
              <w:t>1</w:t>
            </w:r>
            <w:r w:rsidR="00AB76C2">
              <w:t>4</w:t>
            </w:r>
          </w:p>
        </w:tc>
        <w:tc>
          <w:tcPr>
            <w:tcW w:w="2963" w:type="dxa"/>
            <w:vMerge/>
          </w:tcPr>
          <w:p w:rsidR="00920711" w:rsidRPr="00BB5380" w:rsidRDefault="00920711" w:rsidP="00981738">
            <w:pPr>
              <w:jc w:val="both"/>
              <w:rPr>
                <w:b/>
              </w:rPr>
            </w:pPr>
          </w:p>
        </w:tc>
        <w:tc>
          <w:tcPr>
            <w:tcW w:w="4252" w:type="dxa"/>
          </w:tcPr>
          <w:p w:rsidR="00920711" w:rsidRPr="00984006" w:rsidRDefault="00920711" w:rsidP="00920711">
            <w:pPr>
              <w:jc w:val="both"/>
              <w:rPr>
                <w:b/>
              </w:rPr>
            </w:pPr>
            <w:r>
              <w:rPr>
                <w:b/>
              </w:rPr>
              <w:t>Latvijas Finanšu nozares asociācija (elektroniskās saskaņošanas</w:t>
            </w:r>
            <w:r w:rsidR="001F1C3E">
              <w:rPr>
                <w:b/>
              </w:rPr>
              <w:t xml:space="preserve"> (18.09.2019)</w:t>
            </w:r>
            <w:r>
              <w:rPr>
                <w:b/>
              </w:rPr>
              <w:t xml:space="preserve"> laikā izteiktais priekšlikums)</w:t>
            </w:r>
          </w:p>
          <w:p w:rsidR="00920711" w:rsidRDefault="00920711" w:rsidP="00920711">
            <w:pPr>
              <w:jc w:val="both"/>
              <w:rPr>
                <w:b/>
              </w:rPr>
            </w:pPr>
            <w:r>
              <w:lastRenderedPageBreak/>
              <w:t>K</w:t>
            </w:r>
            <w:r w:rsidRPr="001F1C3E">
              <w:t>ā viens no atsevišķi izdalītajiem kļūdu kodu veidiem ir norādīts paziņojums ar saturu - persona ir mirusi/likvidēta. Izvērtējot līdzšinējo pieredzi rīkojumu apstrādē kredītiestādēs, esam secinājuši, ka šādu situāciju skaits ir nebūtisks, līdz ar to atsevišķa koda izstrāde un ieviešana nebūtu samērīga ne rīkojumu devēju, ne kredītiestāžu pusē. Ņemot vērā minēto, aicinām paziņojumu par personas dzīvescikla statusu iekļaut atbildes paziņojumā “Citi”, kuru plānots izmantot gadījumos, kad konkrētā situācija neatbilst nevienam no atsevišķi definētajiem atbildes paziņojumu veidiem</w:t>
            </w:r>
            <w:r>
              <w:t>.</w:t>
            </w:r>
          </w:p>
        </w:tc>
        <w:tc>
          <w:tcPr>
            <w:tcW w:w="3828" w:type="dxa"/>
          </w:tcPr>
          <w:p w:rsidR="00920711" w:rsidRDefault="00920711" w:rsidP="00920711">
            <w:pPr>
              <w:jc w:val="both"/>
              <w:rPr>
                <w:b/>
              </w:rPr>
            </w:pPr>
            <w:r>
              <w:rPr>
                <w:b/>
              </w:rPr>
              <w:lastRenderedPageBreak/>
              <w:t>Ņemts vērā</w:t>
            </w:r>
          </w:p>
          <w:p w:rsidR="00920711" w:rsidRDefault="00920711" w:rsidP="00CF294D">
            <w:pPr>
              <w:jc w:val="both"/>
              <w:rPr>
                <w:b/>
              </w:rPr>
            </w:pPr>
          </w:p>
        </w:tc>
        <w:tc>
          <w:tcPr>
            <w:tcW w:w="3686" w:type="dxa"/>
            <w:vMerge/>
          </w:tcPr>
          <w:p w:rsidR="00920711" w:rsidRDefault="00920711" w:rsidP="00ED1534">
            <w:pPr>
              <w:jc w:val="both"/>
            </w:pPr>
          </w:p>
        </w:tc>
      </w:tr>
      <w:tr w:rsidR="00981738" w:rsidRPr="00984006" w:rsidTr="00BA0343">
        <w:tc>
          <w:tcPr>
            <w:tcW w:w="576" w:type="dxa"/>
          </w:tcPr>
          <w:p w:rsidR="00981738" w:rsidRPr="00984006" w:rsidRDefault="00632D07" w:rsidP="00981738">
            <w:r>
              <w:t>1</w:t>
            </w:r>
            <w:r w:rsidR="00AB76C2">
              <w:t>5</w:t>
            </w:r>
          </w:p>
        </w:tc>
        <w:tc>
          <w:tcPr>
            <w:tcW w:w="2963" w:type="dxa"/>
          </w:tcPr>
          <w:p w:rsidR="00981738" w:rsidRPr="00984006" w:rsidRDefault="00981738" w:rsidP="00981738">
            <w:pPr>
              <w:jc w:val="both"/>
            </w:pPr>
            <w:r>
              <w:t>Anotācijas I sadaļas 2. punkts</w:t>
            </w:r>
          </w:p>
        </w:tc>
        <w:tc>
          <w:tcPr>
            <w:tcW w:w="4252" w:type="dxa"/>
          </w:tcPr>
          <w:p w:rsidR="00981738" w:rsidRPr="00984006" w:rsidRDefault="00981738" w:rsidP="00981738">
            <w:pPr>
              <w:rPr>
                <w:b/>
              </w:rPr>
            </w:pPr>
            <w:r w:rsidRPr="00984006">
              <w:rPr>
                <w:b/>
              </w:rPr>
              <w:t>Tieslietu ministrija</w:t>
            </w:r>
            <w:r w:rsidRPr="00E64262">
              <w:t xml:space="preserve"> (priekšlikums)</w:t>
            </w:r>
          </w:p>
          <w:p w:rsidR="00981738" w:rsidRPr="00E64262" w:rsidRDefault="00981738" w:rsidP="00981738">
            <w:pPr>
              <w:ind w:firstLine="31"/>
              <w:jc w:val="both"/>
            </w:pPr>
            <w:r w:rsidRPr="00E64262">
              <w:t>Anotācijas I sadaļas 1. punktā ietverta atsauce uz likuma "Par nodokļiem un nodevām" 18.</w:t>
            </w:r>
            <w:r w:rsidRPr="00E64262">
              <w:rPr>
                <w:vertAlign w:val="superscript"/>
              </w:rPr>
              <w:t>2</w:t>
            </w:r>
            <w:r w:rsidRPr="00E64262">
              <w:t xml:space="preserve"> pantu, Kredītiestāžu likuma 66.</w:t>
            </w:r>
            <w:r w:rsidRPr="00E64262">
              <w:rPr>
                <w:vertAlign w:val="superscript"/>
              </w:rPr>
              <w:t>2</w:t>
            </w:r>
            <w:r w:rsidRPr="00E64262">
              <w:t xml:space="preserve"> pantu un Maksājumu pakalpojumu un elektroniskās naudas likuma 44.</w:t>
            </w:r>
            <w:r w:rsidRPr="00E64262">
              <w:rPr>
                <w:vertAlign w:val="superscript"/>
              </w:rPr>
              <w:t xml:space="preserve">3 </w:t>
            </w:r>
            <w:r w:rsidRPr="00E64262">
              <w:t>pantu. Ņemot vērā, ka minētajiem pantiem ir vairākas daļas, lūdzam norādīt precīzu panta daļu, kurā noteikta datu apmaiņa elektroniskā veidā.</w:t>
            </w:r>
          </w:p>
        </w:tc>
        <w:tc>
          <w:tcPr>
            <w:tcW w:w="3828" w:type="dxa"/>
          </w:tcPr>
          <w:p w:rsidR="00981738" w:rsidRPr="00984006" w:rsidRDefault="00981738" w:rsidP="00981738">
            <w:pPr>
              <w:jc w:val="both"/>
              <w:rPr>
                <w:b/>
              </w:rPr>
            </w:pPr>
            <w:r w:rsidRPr="00984006">
              <w:rPr>
                <w:b/>
              </w:rPr>
              <w:t>Ņemts vērā</w:t>
            </w:r>
          </w:p>
          <w:p w:rsidR="00981738" w:rsidRPr="00984006" w:rsidRDefault="00981738" w:rsidP="00981738">
            <w:pPr>
              <w:jc w:val="both"/>
              <w:rPr>
                <w:b/>
              </w:rPr>
            </w:pPr>
          </w:p>
        </w:tc>
        <w:tc>
          <w:tcPr>
            <w:tcW w:w="3686" w:type="dxa"/>
          </w:tcPr>
          <w:p w:rsidR="00981738" w:rsidRPr="002F6F19" w:rsidRDefault="00981738" w:rsidP="00981738">
            <w:pPr>
              <w:jc w:val="both"/>
              <w:rPr>
                <w:b/>
                <w:i/>
              </w:rPr>
            </w:pPr>
            <w:r w:rsidRPr="002F6F19">
              <w:rPr>
                <w:b/>
                <w:i/>
              </w:rPr>
              <w:t xml:space="preserve">Precizētas anotācijas I sadaļas </w:t>
            </w:r>
            <w:r>
              <w:rPr>
                <w:b/>
                <w:i/>
              </w:rPr>
              <w:t>2</w:t>
            </w:r>
            <w:r w:rsidRPr="002F6F19">
              <w:rPr>
                <w:b/>
                <w:i/>
              </w:rPr>
              <w:t>. punktā ietvert</w:t>
            </w:r>
            <w:r>
              <w:rPr>
                <w:b/>
                <w:i/>
              </w:rPr>
              <w:t>ā</w:t>
            </w:r>
            <w:r w:rsidRPr="002F6F19">
              <w:rPr>
                <w:b/>
                <w:i/>
              </w:rPr>
              <w:t xml:space="preserve">s atsauces </w:t>
            </w:r>
          </w:p>
          <w:p w:rsidR="00981738" w:rsidRPr="00984006" w:rsidRDefault="00981738" w:rsidP="00981738">
            <w:pPr>
              <w:jc w:val="both"/>
              <w:rPr>
                <w:rFonts w:eastAsia="Times New Roman" w:cs="Times New Roman"/>
                <w:iCs/>
                <w:szCs w:val="24"/>
                <w:lang w:eastAsia="lv-LV"/>
              </w:rPr>
            </w:pPr>
            <w:r w:rsidRPr="00F26CB5">
              <w:rPr>
                <w:rFonts w:cs="Times New Roman"/>
                <w:szCs w:val="24"/>
              </w:rPr>
              <w:t>Likuma “Par nodokļiem un nodevām” 18.</w:t>
            </w:r>
            <w:r w:rsidRPr="00F26CB5">
              <w:rPr>
                <w:rFonts w:cs="Times New Roman"/>
                <w:szCs w:val="24"/>
                <w:vertAlign w:val="superscript"/>
              </w:rPr>
              <w:t>2</w:t>
            </w:r>
            <w:r>
              <w:rPr>
                <w:rFonts w:cs="Times New Roman"/>
                <w:szCs w:val="24"/>
                <w:vertAlign w:val="superscript"/>
              </w:rPr>
              <w:t> </w:t>
            </w:r>
            <w:r w:rsidRPr="00F26CB5">
              <w:rPr>
                <w:rFonts w:cs="Times New Roman"/>
                <w:szCs w:val="24"/>
              </w:rPr>
              <w:t>pant</w:t>
            </w:r>
            <w:r>
              <w:rPr>
                <w:rFonts w:cs="Times New Roman"/>
                <w:szCs w:val="24"/>
              </w:rPr>
              <w:t xml:space="preserve">a </w:t>
            </w:r>
            <w:r w:rsidRPr="002F6F19">
              <w:rPr>
                <w:rFonts w:cs="Times New Roman"/>
                <w:i/>
                <w:szCs w:val="24"/>
              </w:rPr>
              <w:t>sestās daļas 1.punktā</w:t>
            </w:r>
            <w:r w:rsidRPr="002F6F19">
              <w:rPr>
                <w:i/>
              </w:rPr>
              <w:t xml:space="preserve"> un p</w:t>
            </w:r>
            <w:r w:rsidRPr="002F6F19">
              <w:rPr>
                <w:rFonts w:cs="Times New Roman"/>
                <w:i/>
                <w:szCs w:val="24"/>
              </w:rPr>
              <w:t>ārejas noteikumu 185. un 186.punktā</w:t>
            </w:r>
            <w:r w:rsidRPr="00F26CB5">
              <w:rPr>
                <w:rFonts w:cs="Times New Roman"/>
                <w:szCs w:val="24"/>
              </w:rPr>
              <w:t>, Kredītiestāžu likuma 66.</w:t>
            </w:r>
            <w:r w:rsidRPr="00F26CB5">
              <w:rPr>
                <w:rFonts w:cs="Times New Roman"/>
                <w:szCs w:val="24"/>
                <w:vertAlign w:val="superscript"/>
              </w:rPr>
              <w:t>2</w:t>
            </w:r>
            <w:r>
              <w:rPr>
                <w:rFonts w:cs="Times New Roman"/>
                <w:szCs w:val="24"/>
                <w:vertAlign w:val="superscript"/>
              </w:rPr>
              <w:t> </w:t>
            </w:r>
            <w:r w:rsidRPr="00F26CB5">
              <w:rPr>
                <w:rFonts w:cs="Times New Roman"/>
                <w:szCs w:val="24"/>
              </w:rPr>
              <w:t>pant</w:t>
            </w:r>
            <w:r>
              <w:rPr>
                <w:rFonts w:cs="Times New Roman"/>
                <w:szCs w:val="24"/>
              </w:rPr>
              <w:t xml:space="preserve">a </w:t>
            </w:r>
            <w:r w:rsidRPr="002F6F19">
              <w:rPr>
                <w:rFonts w:cs="Times New Roman"/>
                <w:i/>
                <w:szCs w:val="24"/>
              </w:rPr>
              <w:t>otrās daļas 1.punktā</w:t>
            </w:r>
            <w:r w:rsidRPr="002F6F19">
              <w:rPr>
                <w:i/>
              </w:rPr>
              <w:t xml:space="preserve"> un p</w:t>
            </w:r>
            <w:r w:rsidRPr="002F6F19">
              <w:rPr>
                <w:rFonts w:cs="Times New Roman"/>
                <w:i/>
                <w:szCs w:val="24"/>
              </w:rPr>
              <w:t>ārejas noteikumu 70.punktā</w:t>
            </w:r>
            <w:r w:rsidRPr="00F26CB5">
              <w:rPr>
                <w:rFonts w:cs="Times New Roman"/>
                <w:szCs w:val="24"/>
              </w:rPr>
              <w:t xml:space="preserve"> un Maksājumu pakalpojumu un elektroniskās naudas likuma 44.</w:t>
            </w:r>
            <w:r w:rsidRPr="00F26CB5">
              <w:rPr>
                <w:rFonts w:cs="Times New Roman"/>
                <w:szCs w:val="24"/>
                <w:vertAlign w:val="superscript"/>
              </w:rPr>
              <w:t>3</w:t>
            </w:r>
            <w:r>
              <w:rPr>
                <w:rFonts w:cs="Times New Roman"/>
                <w:szCs w:val="24"/>
                <w:vertAlign w:val="superscript"/>
              </w:rPr>
              <w:t> </w:t>
            </w:r>
            <w:r w:rsidRPr="00F26CB5">
              <w:rPr>
                <w:rFonts w:cs="Times New Roman"/>
                <w:szCs w:val="24"/>
              </w:rPr>
              <w:t>pant</w:t>
            </w:r>
            <w:r>
              <w:rPr>
                <w:rFonts w:cs="Times New Roman"/>
                <w:szCs w:val="24"/>
              </w:rPr>
              <w:t xml:space="preserve">a </w:t>
            </w:r>
            <w:r w:rsidRPr="002F6F19">
              <w:rPr>
                <w:rFonts w:cs="Times New Roman"/>
                <w:i/>
                <w:szCs w:val="24"/>
              </w:rPr>
              <w:t xml:space="preserve">trešās daļas 1.punktā </w:t>
            </w:r>
            <w:r w:rsidRPr="002F6F19">
              <w:rPr>
                <w:i/>
              </w:rPr>
              <w:t>un p</w:t>
            </w:r>
            <w:r w:rsidRPr="002F6F19">
              <w:rPr>
                <w:rFonts w:cs="Times New Roman"/>
                <w:i/>
                <w:szCs w:val="24"/>
              </w:rPr>
              <w:t>ārejas noteikumu 20.punktā</w:t>
            </w:r>
            <w:r w:rsidRPr="00F26CB5">
              <w:rPr>
                <w:rFonts w:cs="Times New Roman"/>
                <w:szCs w:val="24"/>
              </w:rPr>
              <w:t xml:space="preserve"> noteiktā datu apmaiņa elektroniskā </w:t>
            </w:r>
            <w:r w:rsidRPr="00F26CB5">
              <w:rPr>
                <w:rFonts w:cs="Times New Roman"/>
                <w:szCs w:val="24"/>
              </w:rPr>
              <w:lastRenderedPageBreak/>
              <w:t xml:space="preserve">veidā – izmantojot Valsts reģionālās attīstības aģentūras (turpmāk – VRAA) pārziņā esošo Valsts informācijas sistēmu </w:t>
            </w:r>
            <w:proofErr w:type="spellStart"/>
            <w:r w:rsidRPr="00F26CB5">
              <w:rPr>
                <w:rFonts w:cs="Times New Roman"/>
                <w:szCs w:val="24"/>
              </w:rPr>
              <w:t>savietotāja</w:t>
            </w:r>
            <w:proofErr w:type="spellEnd"/>
            <w:r w:rsidRPr="00F26CB5">
              <w:rPr>
                <w:rFonts w:cs="Times New Roman"/>
                <w:szCs w:val="24"/>
              </w:rPr>
              <w:t xml:space="preserve"> koplietošanas daļu “Datu izplatīšanas tīkls” (turpmāk – DIT) ti</w:t>
            </w:r>
            <w:r>
              <w:rPr>
                <w:rFonts w:cs="Times New Roman"/>
                <w:szCs w:val="24"/>
              </w:rPr>
              <w:t>e</w:t>
            </w:r>
            <w:r w:rsidRPr="00F26CB5">
              <w:rPr>
                <w:rFonts w:cs="Times New Roman"/>
                <w:szCs w:val="24"/>
              </w:rPr>
              <w:t>k uzsākta</w:t>
            </w:r>
            <w:r>
              <w:rPr>
                <w:rFonts w:cs="Times New Roman"/>
                <w:szCs w:val="24"/>
              </w:rPr>
              <w:t>,</w:t>
            </w:r>
            <w:r w:rsidRPr="00F26CB5">
              <w:rPr>
                <w:rFonts w:cs="Times New Roman"/>
                <w:szCs w:val="24"/>
              </w:rPr>
              <w:t xml:space="preserve"> sākot ar 2019.</w:t>
            </w:r>
            <w:r>
              <w:rPr>
                <w:rFonts w:cs="Times New Roman"/>
                <w:szCs w:val="24"/>
              </w:rPr>
              <w:t> </w:t>
            </w:r>
            <w:r w:rsidRPr="00F26CB5">
              <w:rPr>
                <w:rFonts w:cs="Times New Roman"/>
                <w:szCs w:val="24"/>
              </w:rPr>
              <w:t>gada 1.</w:t>
            </w:r>
            <w:r>
              <w:rPr>
                <w:rFonts w:cs="Times New Roman"/>
                <w:szCs w:val="24"/>
              </w:rPr>
              <w:t> </w:t>
            </w:r>
            <w:r w:rsidRPr="00F26CB5">
              <w:rPr>
                <w:rFonts w:cs="Times New Roman"/>
                <w:szCs w:val="24"/>
              </w:rPr>
              <w:t>jūliju.</w:t>
            </w:r>
          </w:p>
        </w:tc>
      </w:tr>
    </w:tbl>
    <w:p w:rsidR="00D33B33" w:rsidRPr="00984006" w:rsidRDefault="00D33B33" w:rsidP="00B73C81"/>
    <w:p w:rsidR="00B73C81" w:rsidRPr="00984006" w:rsidRDefault="00B73C81" w:rsidP="00B73C81">
      <w:r w:rsidRPr="00984006">
        <w:t>Atbildīgā amatpersona____________________________</w:t>
      </w:r>
      <w:proofErr w:type="spellStart"/>
      <w:r w:rsidRPr="00984006">
        <w:t>K.Voiniča</w:t>
      </w:r>
      <w:proofErr w:type="spellEnd"/>
    </w:p>
    <w:p w:rsidR="00D33B33" w:rsidRPr="00984006" w:rsidRDefault="00D33B33" w:rsidP="00B73C81">
      <w:pPr>
        <w:rPr>
          <w:sz w:val="16"/>
          <w:szCs w:val="16"/>
        </w:rPr>
      </w:pPr>
    </w:p>
    <w:p w:rsidR="00D33B33" w:rsidRPr="00984006" w:rsidRDefault="00D33B33" w:rsidP="00B73C81">
      <w:pPr>
        <w:rPr>
          <w:sz w:val="16"/>
          <w:szCs w:val="16"/>
        </w:rPr>
      </w:pPr>
    </w:p>
    <w:p w:rsidR="00B73C81" w:rsidRPr="00984006" w:rsidRDefault="00B73C81" w:rsidP="00B73C81">
      <w:pPr>
        <w:rPr>
          <w:sz w:val="20"/>
          <w:szCs w:val="20"/>
        </w:rPr>
      </w:pPr>
      <w:r w:rsidRPr="00984006">
        <w:rPr>
          <w:sz w:val="20"/>
          <w:szCs w:val="20"/>
        </w:rPr>
        <w:t>Kristīne Voiniča</w:t>
      </w:r>
    </w:p>
    <w:p w:rsidR="00B73C81" w:rsidRPr="00984006" w:rsidRDefault="00B73C81" w:rsidP="00B73C81">
      <w:pPr>
        <w:rPr>
          <w:sz w:val="20"/>
          <w:szCs w:val="20"/>
        </w:rPr>
      </w:pPr>
      <w:r w:rsidRPr="00984006">
        <w:rPr>
          <w:sz w:val="20"/>
          <w:szCs w:val="20"/>
        </w:rPr>
        <w:t>Finanšu ministrijas</w:t>
      </w:r>
    </w:p>
    <w:p w:rsidR="00B73C81" w:rsidRPr="00984006" w:rsidRDefault="00B73C81" w:rsidP="00B73C81">
      <w:pPr>
        <w:rPr>
          <w:sz w:val="20"/>
          <w:szCs w:val="20"/>
        </w:rPr>
      </w:pPr>
      <w:r w:rsidRPr="00984006">
        <w:rPr>
          <w:sz w:val="20"/>
          <w:szCs w:val="20"/>
        </w:rPr>
        <w:t xml:space="preserve">Nodokļu administrēšanas </w:t>
      </w:r>
      <w:r w:rsidR="00C06F06" w:rsidRPr="00984006">
        <w:rPr>
          <w:sz w:val="20"/>
          <w:szCs w:val="20"/>
        </w:rPr>
        <w:t xml:space="preserve">un </w:t>
      </w:r>
      <w:r w:rsidR="00460B90">
        <w:rPr>
          <w:sz w:val="20"/>
          <w:szCs w:val="20"/>
        </w:rPr>
        <w:t>sabiedrības interešu</w:t>
      </w:r>
      <w:r w:rsidR="00C06F06" w:rsidRPr="00984006">
        <w:rPr>
          <w:sz w:val="20"/>
          <w:szCs w:val="20"/>
        </w:rPr>
        <w:t xml:space="preserve"> </w:t>
      </w:r>
      <w:r w:rsidRPr="00984006">
        <w:rPr>
          <w:sz w:val="20"/>
          <w:szCs w:val="20"/>
        </w:rPr>
        <w:t>politikas departamenta</w:t>
      </w:r>
    </w:p>
    <w:p w:rsidR="00B73C81" w:rsidRPr="00984006" w:rsidRDefault="00B73C81" w:rsidP="00B73C81">
      <w:pPr>
        <w:rPr>
          <w:sz w:val="20"/>
          <w:szCs w:val="20"/>
        </w:rPr>
      </w:pPr>
      <w:r w:rsidRPr="00984006">
        <w:rPr>
          <w:sz w:val="20"/>
          <w:szCs w:val="20"/>
        </w:rPr>
        <w:t xml:space="preserve">Nodokļu administrēšanas </w:t>
      </w:r>
      <w:r w:rsidR="00B439D5">
        <w:rPr>
          <w:sz w:val="20"/>
          <w:szCs w:val="20"/>
        </w:rPr>
        <w:t xml:space="preserve">un starptautiskās administratīvās sadarbības </w:t>
      </w:r>
      <w:r w:rsidR="00C06F06" w:rsidRPr="00984006">
        <w:rPr>
          <w:sz w:val="20"/>
          <w:szCs w:val="20"/>
        </w:rPr>
        <w:t>politikas</w:t>
      </w:r>
      <w:r w:rsidRPr="00984006">
        <w:rPr>
          <w:sz w:val="20"/>
          <w:szCs w:val="20"/>
        </w:rPr>
        <w:t xml:space="preserve"> nodaļas vecākā </w:t>
      </w:r>
      <w:r w:rsidR="0063280E" w:rsidRPr="00984006">
        <w:rPr>
          <w:sz w:val="20"/>
          <w:szCs w:val="20"/>
        </w:rPr>
        <w:t>eksperte</w:t>
      </w:r>
    </w:p>
    <w:p w:rsidR="00B73C81" w:rsidRPr="00984006" w:rsidRDefault="00460B90" w:rsidP="00B73C81">
      <w:pPr>
        <w:rPr>
          <w:sz w:val="20"/>
          <w:szCs w:val="20"/>
        </w:rPr>
      </w:pPr>
      <w:r>
        <w:rPr>
          <w:sz w:val="20"/>
          <w:szCs w:val="20"/>
        </w:rPr>
        <w:t>67095567</w:t>
      </w:r>
    </w:p>
    <w:p w:rsidR="009929B9" w:rsidRPr="00984006" w:rsidRDefault="00B73C81" w:rsidP="00B73C81">
      <w:pPr>
        <w:rPr>
          <w:sz w:val="20"/>
          <w:szCs w:val="20"/>
        </w:rPr>
      </w:pPr>
      <w:r w:rsidRPr="00984006">
        <w:rPr>
          <w:sz w:val="20"/>
          <w:szCs w:val="20"/>
        </w:rPr>
        <w:t>Kristine.Voinica@fm.gov.lv</w:t>
      </w:r>
    </w:p>
    <w:p w:rsidR="00C579B7" w:rsidRPr="00984006" w:rsidRDefault="00C579B7">
      <w:pPr>
        <w:rPr>
          <w:sz w:val="20"/>
          <w:szCs w:val="20"/>
        </w:rPr>
      </w:pPr>
    </w:p>
    <w:p w:rsidR="009028CE" w:rsidRPr="00984006" w:rsidRDefault="009028CE">
      <w:pPr>
        <w:rPr>
          <w:sz w:val="20"/>
          <w:szCs w:val="20"/>
        </w:rPr>
      </w:pPr>
    </w:p>
    <w:p w:rsidR="009028CE" w:rsidRPr="009028CE" w:rsidRDefault="009028CE" w:rsidP="009028CE">
      <w:pPr>
        <w:rPr>
          <w:sz w:val="20"/>
          <w:szCs w:val="20"/>
        </w:rPr>
      </w:pPr>
    </w:p>
    <w:sectPr w:rsidR="009028CE" w:rsidRPr="009028CE"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81" w:rsidRDefault="00CB0D81" w:rsidP="009929B9">
      <w:r>
        <w:separator/>
      </w:r>
    </w:p>
    <w:p w:rsidR="00CB0D81" w:rsidRDefault="00CB0D81"/>
  </w:endnote>
  <w:endnote w:type="continuationSeparator" w:id="0">
    <w:p w:rsidR="00CB0D81" w:rsidRDefault="00CB0D81" w:rsidP="009929B9">
      <w:r>
        <w:continuationSeparator/>
      </w:r>
    </w:p>
    <w:p w:rsidR="00CB0D81" w:rsidRDefault="00CB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0D" w:rsidRPr="009B3C1B" w:rsidRDefault="00B1410D">
    <w:pPr>
      <w:pStyle w:val="Footer"/>
      <w:rPr>
        <w:sz w:val="20"/>
        <w:szCs w:val="20"/>
      </w:rPr>
    </w:pPr>
    <w:r w:rsidRPr="009B3C1B">
      <w:rPr>
        <w:sz w:val="20"/>
        <w:szCs w:val="20"/>
      </w:rPr>
      <w:t>FMIzz_</w:t>
    </w:r>
    <w:r w:rsidR="008F38C1">
      <w:rPr>
        <w:sz w:val="20"/>
        <w:szCs w:val="20"/>
      </w:rPr>
      <w:t>0511</w:t>
    </w:r>
    <w:r>
      <w:rPr>
        <w:sz w:val="20"/>
        <w:szCs w:val="20"/>
      </w:rPr>
      <w:t>19_not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81" w:rsidRDefault="00CB0D81" w:rsidP="009929B9">
      <w:r>
        <w:separator/>
      </w:r>
    </w:p>
    <w:p w:rsidR="00CB0D81" w:rsidRDefault="00CB0D81"/>
  </w:footnote>
  <w:footnote w:type="continuationSeparator" w:id="0">
    <w:p w:rsidR="00CB0D81" w:rsidRDefault="00CB0D81" w:rsidP="009929B9">
      <w:r>
        <w:continuationSeparator/>
      </w:r>
    </w:p>
    <w:p w:rsidR="00CB0D81" w:rsidRDefault="00CB0D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086243"/>
      <w:docPartObj>
        <w:docPartGallery w:val="Page Numbers (Top of Page)"/>
        <w:docPartUnique/>
      </w:docPartObj>
    </w:sdtPr>
    <w:sdtEndPr>
      <w:rPr>
        <w:noProof/>
      </w:rPr>
    </w:sdtEndPr>
    <w:sdtContent>
      <w:p w:rsidR="00B1410D" w:rsidRDefault="00B1410D">
        <w:pPr>
          <w:pStyle w:val="Header"/>
          <w:jc w:val="center"/>
        </w:pPr>
        <w:r>
          <w:fldChar w:fldCharType="begin"/>
        </w:r>
        <w:r>
          <w:instrText xml:space="preserve"> PAGE   \* MERGEFORMAT </w:instrText>
        </w:r>
        <w:r>
          <w:fldChar w:fldCharType="separate"/>
        </w:r>
        <w:r w:rsidR="00FB1F22">
          <w:rPr>
            <w:noProof/>
          </w:rPr>
          <w:t>2</w:t>
        </w:r>
        <w:r>
          <w:rPr>
            <w:noProof/>
          </w:rPr>
          <w:fldChar w:fldCharType="end"/>
        </w:r>
      </w:p>
    </w:sdtContent>
  </w:sdt>
  <w:p w:rsidR="00B1410D" w:rsidRDefault="00B1410D">
    <w:pPr>
      <w:pStyle w:val="Header"/>
    </w:pPr>
  </w:p>
  <w:p w:rsidR="004A48B3" w:rsidRDefault="004A48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2176"/>
    <w:rsid w:val="00005618"/>
    <w:rsid w:val="00006BAE"/>
    <w:rsid w:val="00010B89"/>
    <w:rsid w:val="00014607"/>
    <w:rsid w:val="00015D23"/>
    <w:rsid w:val="00022C19"/>
    <w:rsid w:val="00025A1B"/>
    <w:rsid w:val="00040805"/>
    <w:rsid w:val="00041261"/>
    <w:rsid w:val="00042844"/>
    <w:rsid w:val="00047DDC"/>
    <w:rsid w:val="00070FE3"/>
    <w:rsid w:val="00073B1B"/>
    <w:rsid w:val="00073C2B"/>
    <w:rsid w:val="00076C90"/>
    <w:rsid w:val="00082F5A"/>
    <w:rsid w:val="00083F32"/>
    <w:rsid w:val="00090D2D"/>
    <w:rsid w:val="00091C20"/>
    <w:rsid w:val="000944E4"/>
    <w:rsid w:val="00095598"/>
    <w:rsid w:val="00096314"/>
    <w:rsid w:val="000A3B2F"/>
    <w:rsid w:val="000A7370"/>
    <w:rsid w:val="000B14D1"/>
    <w:rsid w:val="000B15F4"/>
    <w:rsid w:val="000C299D"/>
    <w:rsid w:val="000C552C"/>
    <w:rsid w:val="000E1CDE"/>
    <w:rsid w:val="000F715D"/>
    <w:rsid w:val="00100A9F"/>
    <w:rsid w:val="00103DD4"/>
    <w:rsid w:val="00104E7F"/>
    <w:rsid w:val="0010534E"/>
    <w:rsid w:val="00107511"/>
    <w:rsid w:val="00110D6B"/>
    <w:rsid w:val="00111AC5"/>
    <w:rsid w:val="00116C6E"/>
    <w:rsid w:val="0012190B"/>
    <w:rsid w:val="00126C72"/>
    <w:rsid w:val="0013052F"/>
    <w:rsid w:val="00130C03"/>
    <w:rsid w:val="00132462"/>
    <w:rsid w:val="001364EC"/>
    <w:rsid w:val="00140E41"/>
    <w:rsid w:val="0014396D"/>
    <w:rsid w:val="001509B1"/>
    <w:rsid w:val="001520E3"/>
    <w:rsid w:val="00157D9E"/>
    <w:rsid w:val="001652F0"/>
    <w:rsid w:val="0016789D"/>
    <w:rsid w:val="00171A70"/>
    <w:rsid w:val="0018282D"/>
    <w:rsid w:val="00182B22"/>
    <w:rsid w:val="00187683"/>
    <w:rsid w:val="00193180"/>
    <w:rsid w:val="001C1E53"/>
    <w:rsid w:val="001C3B0D"/>
    <w:rsid w:val="001C4A29"/>
    <w:rsid w:val="001C58A8"/>
    <w:rsid w:val="001C638C"/>
    <w:rsid w:val="001D13B5"/>
    <w:rsid w:val="001D2303"/>
    <w:rsid w:val="001E0887"/>
    <w:rsid w:val="001E3B6B"/>
    <w:rsid w:val="001E411D"/>
    <w:rsid w:val="001F1C3E"/>
    <w:rsid w:val="001F73B7"/>
    <w:rsid w:val="002010DC"/>
    <w:rsid w:val="00202A69"/>
    <w:rsid w:val="0020514C"/>
    <w:rsid w:val="00210284"/>
    <w:rsid w:val="00210F35"/>
    <w:rsid w:val="00215A91"/>
    <w:rsid w:val="00222673"/>
    <w:rsid w:val="002239A7"/>
    <w:rsid w:val="00225AB4"/>
    <w:rsid w:val="00226350"/>
    <w:rsid w:val="00232569"/>
    <w:rsid w:val="002464FC"/>
    <w:rsid w:val="0025062E"/>
    <w:rsid w:val="00264B3A"/>
    <w:rsid w:val="00264DEF"/>
    <w:rsid w:val="0027656B"/>
    <w:rsid w:val="00280BAF"/>
    <w:rsid w:val="00281057"/>
    <w:rsid w:val="00284325"/>
    <w:rsid w:val="002865CC"/>
    <w:rsid w:val="00287D10"/>
    <w:rsid w:val="00290DDD"/>
    <w:rsid w:val="00294E13"/>
    <w:rsid w:val="002974D6"/>
    <w:rsid w:val="00297939"/>
    <w:rsid w:val="002A11E4"/>
    <w:rsid w:val="002A393C"/>
    <w:rsid w:val="002A7F14"/>
    <w:rsid w:val="002C0072"/>
    <w:rsid w:val="002C10F3"/>
    <w:rsid w:val="002C14C0"/>
    <w:rsid w:val="002C23BE"/>
    <w:rsid w:val="002C3FE7"/>
    <w:rsid w:val="002D46E3"/>
    <w:rsid w:val="002E08CF"/>
    <w:rsid w:val="002E0A7C"/>
    <w:rsid w:val="002E26B5"/>
    <w:rsid w:val="002F643A"/>
    <w:rsid w:val="002F6F19"/>
    <w:rsid w:val="002F7176"/>
    <w:rsid w:val="002F76FA"/>
    <w:rsid w:val="00301162"/>
    <w:rsid w:val="00305643"/>
    <w:rsid w:val="00310B34"/>
    <w:rsid w:val="0031241A"/>
    <w:rsid w:val="003145E6"/>
    <w:rsid w:val="00317E1B"/>
    <w:rsid w:val="00322198"/>
    <w:rsid w:val="0033243A"/>
    <w:rsid w:val="003339BA"/>
    <w:rsid w:val="003343C6"/>
    <w:rsid w:val="00340906"/>
    <w:rsid w:val="00344E36"/>
    <w:rsid w:val="003504B7"/>
    <w:rsid w:val="003520E0"/>
    <w:rsid w:val="00352A85"/>
    <w:rsid w:val="00354A6A"/>
    <w:rsid w:val="003553F4"/>
    <w:rsid w:val="00357CD0"/>
    <w:rsid w:val="00362FF9"/>
    <w:rsid w:val="00395897"/>
    <w:rsid w:val="003A269F"/>
    <w:rsid w:val="003A65D0"/>
    <w:rsid w:val="003B69A5"/>
    <w:rsid w:val="003C1B87"/>
    <w:rsid w:val="003C648E"/>
    <w:rsid w:val="003C7084"/>
    <w:rsid w:val="003D3106"/>
    <w:rsid w:val="003E0F66"/>
    <w:rsid w:val="003E1A74"/>
    <w:rsid w:val="003E22E1"/>
    <w:rsid w:val="003E2BEF"/>
    <w:rsid w:val="003F05A4"/>
    <w:rsid w:val="003F5CEC"/>
    <w:rsid w:val="003F5E0F"/>
    <w:rsid w:val="00403F45"/>
    <w:rsid w:val="0040779A"/>
    <w:rsid w:val="0041654D"/>
    <w:rsid w:val="00417354"/>
    <w:rsid w:val="00417FEF"/>
    <w:rsid w:val="004269AB"/>
    <w:rsid w:val="00426B6C"/>
    <w:rsid w:val="00430CE2"/>
    <w:rsid w:val="00435A7B"/>
    <w:rsid w:val="00441DDC"/>
    <w:rsid w:val="00444AE4"/>
    <w:rsid w:val="00447209"/>
    <w:rsid w:val="00453890"/>
    <w:rsid w:val="00460B90"/>
    <w:rsid w:val="0046130B"/>
    <w:rsid w:val="0046366E"/>
    <w:rsid w:val="00464FE0"/>
    <w:rsid w:val="004756A9"/>
    <w:rsid w:val="00480FCD"/>
    <w:rsid w:val="0048105B"/>
    <w:rsid w:val="00487AAB"/>
    <w:rsid w:val="004918CA"/>
    <w:rsid w:val="004927E3"/>
    <w:rsid w:val="004934B0"/>
    <w:rsid w:val="00494199"/>
    <w:rsid w:val="00494C09"/>
    <w:rsid w:val="004973DC"/>
    <w:rsid w:val="004A1FBB"/>
    <w:rsid w:val="004A48B3"/>
    <w:rsid w:val="004B0A20"/>
    <w:rsid w:val="004B1F12"/>
    <w:rsid w:val="004B266B"/>
    <w:rsid w:val="004B28B2"/>
    <w:rsid w:val="004C0832"/>
    <w:rsid w:val="004C2946"/>
    <w:rsid w:val="004C4CA5"/>
    <w:rsid w:val="004D2DE2"/>
    <w:rsid w:val="004E079B"/>
    <w:rsid w:val="004E4BC3"/>
    <w:rsid w:val="004E674E"/>
    <w:rsid w:val="004E7B29"/>
    <w:rsid w:val="004E7F19"/>
    <w:rsid w:val="004F03CD"/>
    <w:rsid w:val="004F4A83"/>
    <w:rsid w:val="004F501E"/>
    <w:rsid w:val="004F7E1E"/>
    <w:rsid w:val="005055A8"/>
    <w:rsid w:val="005139E7"/>
    <w:rsid w:val="005231CD"/>
    <w:rsid w:val="00525FEA"/>
    <w:rsid w:val="005319A8"/>
    <w:rsid w:val="00531C98"/>
    <w:rsid w:val="00546A23"/>
    <w:rsid w:val="005471E7"/>
    <w:rsid w:val="005535BB"/>
    <w:rsid w:val="00553AD8"/>
    <w:rsid w:val="00555343"/>
    <w:rsid w:val="00555C1F"/>
    <w:rsid w:val="0055622C"/>
    <w:rsid w:val="00557DCB"/>
    <w:rsid w:val="00560C12"/>
    <w:rsid w:val="00564CD5"/>
    <w:rsid w:val="005650CB"/>
    <w:rsid w:val="00567B96"/>
    <w:rsid w:val="00571769"/>
    <w:rsid w:val="00582C96"/>
    <w:rsid w:val="00582DC8"/>
    <w:rsid w:val="0058614B"/>
    <w:rsid w:val="0058675F"/>
    <w:rsid w:val="005C037D"/>
    <w:rsid w:val="005C146B"/>
    <w:rsid w:val="005C1F8D"/>
    <w:rsid w:val="005D313C"/>
    <w:rsid w:val="005E1449"/>
    <w:rsid w:val="005E1835"/>
    <w:rsid w:val="005E4BD4"/>
    <w:rsid w:val="005F0AE1"/>
    <w:rsid w:val="005F0F7D"/>
    <w:rsid w:val="005F53C1"/>
    <w:rsid w:val="00601058"/>
    <w:rsid w:val="00615174"/>
    <w:rsid w:val="00615892"/>
    <w:rsid w:val="00615F13"/>
    <w:rsid w:val="006258FF"/>
    <w:rsid w:val="006269C7"/>
    <w:rsid w:val="0063280E"/>
    <w:rsid w:val="00632D07"/>
    <w:rsid w:val="006335DE"/>
    <w:rsid w:val="00634435"/>
    <w:rsid w:val="00643A5F"/>
    <w:rsid w:val="006461D0"/>
    <w:rsid w:val="00647A3E"/>
    <w:rsid w:val="00650BE8"/>
    <w:rsid w:val="00650F1B"/>
    <w:rsid w:val="00653768"/>
    <w:rsid w:val="006547B8"/>
    <w:rsid w:val="00656908"/>
    <w:rsid w:val="006610EB"/>
    <w:rsid w:val="00665E51"/>
    <w:rsid w:val="0067699A"/>
    <w:rsid w:val="006918AB"/>
    <w:rsid w:val="00695A30"/>
    <w:rsid w:val="0069613C"/>
    <w:rsid w:val="006A191E"/>
    <w:rsid w:val="006A3019"/>
    <w:rsid w:val="006A4B13"/>
    <w:rsid w:val="006B4B17"/>
    <w:rsid w:val="006B60EC"/>
    <w:rsid w:val="006B682F"/>
    <w:rsid w:val="006B6CC4"/>
    <w:rsid w:val="006C5559"/>
    <w:rsid w:val="006C62FE"/>
    <w:rsid w:val="006C7531"/>
    <w:rsid w:val="006C7643"/>
    <w:rsid w:val="006C7E82"/>
    <w:rsid w:val="006D1C5C"/>
    <w:rsid w:val="006D665F"/>
    <w:rsid w:val="006D7FED"/>
    <w:rsid w:val="006E2700"/>
    <w:rsid w:val="006E40F6"/>
    <w:rsid w:val="006E62C8"/>
    <w:rsid w:val="006F2E15"/>
    <w:rsid w:val="006F7817"/>
    <w:rsid w:val="006F791F"/>
    <w:rsid w:val="00700CAE"/>
    <w:rsid w:val="00702D12"/>
    <w:rsid w:val="007031B8"/>
    <w:rsid w:val="00705F04"/>
    <w:rsid w:val="007100AD"/>
    <w:rsid w:val="00713F07"/>
    <w:rsid w:val="00714B29"/>
    <w:rsid w:val="00721733"/>
    <w:rsid w:val="00726EA5"/>
    <w:rsid w:val="00730932"/>
    <w:rsid w:val="00730B54"/>
    <w:rsid w:val="00740A7B"/>
    <w:rsid w:val="00741FBD"/>
    <w:rsid w:val="00742DB0"/>
    <w:rsid w:val="00747502"/>
    <w:rsid w:val="0075344F"/>
    <w:rsid w:val="007622F3"/>
    <w:rsid w:val="00763638"/>
    <w:rsid w:val="00775661"/>
    <w:rsid w:val="00777083"/>
    <w:rsid w:val="00782A38"/>
    <w:rsid w:val="00786A29"/>
    <w:rsid w:val="0078741C"/>
    <w:rsid w:val="00795657"/>
    <w:rsid w:val="00795E14"/>
    <w:rsid w:val="00797E06"/>
    <w:rsid w:val="007A49B5"/>
    <w:rsid w:val="007A4ECC"/>
    <w:rsid w:val="007A598B"/>
    <w:rsid w:val="007A735B"/>
    <w:rsid w:val="007B2BCD"/>
    <w:rsid w:val="007C4B2F"/>
    <w:rsid w:val="007C4E67"/>
    <w:rsid w:val="007C6006"/>
    <w:rsid w:val="007D02B2"/>
    <w:rsid w:val="007D3B75"/>
    <w:rsid w:val="007D455D"/>
    <w:rsid w:val="007D58A1"/>
    <w:rsid w:val="007E077F"/>
    <w:rsid w:val="007E0CE8"/>
    <w:rsid w:val="007F26B9"/>
    <w:rsid w:val="007F681D"/>
    <w:rsid w:val="008001D9"/>
    <w:rsid w:val="00806499"/>
    <w:rsid w:val="00806CA5"/>
    <w:rsid w:val="00811582"/>
    <w:rsid w:val="00812ED2"/>
    <w:rsid w:val="00817787"/>
    <w:rsid w:val="0082290E"/>
    <w:rsid w:val="00822A9E"/>
    <w:rsid w:val="00823925"/>
    <w:rsid w:val="00823AF0"/>
    <w:rsid w:val="00825202"/>
    <w:rsid w:val="0083700B"/>
    <w:rsid w:val="008444E7"/>
    <w:rsid w:val="00846E70"/>
    <w:rsid w:val="0086263C"/>
    <w:rsid w:val="008652BA"/>
    <w:rsid w:val="0088064A"/>
    <w:rsid w:val="008838A5"/>
    <w:rsid w:val="00887853"/>
    <w:rsid w:val="00890C05"/>
    <w:rsid w:val="0089218E"/>
    <w:rsid w:val="00892360"/>
    <w:rsid w:val="00897BE5"/>
    <w:rsid w:val="008A0408"/>
    <w:rsid w:val="008A0D49"/>
    <w:rsid w:val="008A5AE6"/>
    <w:rsid w:val="008A6B6E"/>
    <w:rsid w:val="008A6BD7"/>
    <w:rsid w:val="008B28FD"/>
    <w:rsid w:val="008B302D"/>
    <w:rsid w:val="008B5ADB"/>
    <w:rsid w:val="008B750B"/>
    <w:rsid w:val="008C471E"/>
    <w:rsid w:val="008C792E"/>
    <w:rsid w:val="008D5D40"/>
    <w:rsid w:val="008E20A3"/>
    <w:rsid w:val="008E4F47"/>
    <w:rsid w:val="008E6538"/>
    <w:rsid w:val="008F0CD3"/>
    <w:rsid w:val="008F38C1"/>
    <w:rsid w:val="008F76BD"/>
    <w:rsid w:val="009028CE"/>
    <w:rsid w:val="00912EDC"/>
    <w:rsid w:val="009135F5"/>
    <w:rsid w:val="00920711"/>
    <w:rsid w:val="0093244B"/>
    <w:rsid w:val="00936481"/>
    <w:rsid w:val="00952F83"/>
    <w:rsid w:val="0095359E"/>
    <w:rsid w:val="009773CE"/>
    <w:rsid w:val="00981738"/>
    <w:rsid w:val="00982151"/>
    <w:rsid w:val="00982980"/>
    <w:rsid w:val="00984006"/>
    <w:rsid w:val="0098416C"/>
    <w:rsid w:val="00990262"/>
    <w:rsid w:val="009929B9"/>
    <w:rsid w:val="00996757"/>
    <w:rsid w:val="009972EF"/>
    <w:rsid w:val="00997894"/>
    <w:rsid w:val="00997939"/>
    <w:rsid w:val="009A0534"/>
    <w:rsid w:val="009B0212"/>
    <w:rsid w:val="009B3C1B"/>
    <w:rsid w:val="009B4407"/>
    <w:rsid w:val="009C0D07"/>
    <w:rsid w:val="009C238F"/>
    <w:rsid w:val="009C2458"/>
    <w:rsid w:val="009C53CE"/>
    <w:rsid w:val="009D37E2"/>
    <w:rsid w:val="009E3140"/>
    <w:rsid w:val="009E332D"/>
    <w:rsid w:val="009E3D73"/>
    <w:rsid w:val="009E7F27"/>
    <w:rsid w:val="009F107E"/>
    <w:rsid w:val="009F136E"/>
    <w:rsid w:val="009F17AE"/>
    <w:rsid w:val="009F2021"/>
    <w:rsid w:val="009F3197"/>
    <w:rsid w:val="009F4CD2"/>
    <w:rsid w:val="00A05CD2"/>
    <w:rsid w:val="00A13BE3"/>
    <w:rsid w:val="00A14C55"/>
    <w:rsid w:val="00A154DF"/>
    <w:rsid w:val="00A1601D"/>
    <w:rsid w:val="00A27592"/>
    <w:rsid w:val="00A34551"/>
    <w:rsid w:val="00A408E4"/>
    <w:rsid w:val="00A455A3"/>
    <w:rsid w:val="00A45DCF"/>
    <w:rsid w:val="00A473DB"/>
    <w:rsid w:val="00A478D9"/>
    <w:rsid w:val="00A521E7"/>
    <w:rsid w:val="00A53C98"/>
    <w:rsid w:val="00A66342"/>
    <w:rsid w:val="00A71BB8"/>
    <w:rsid w:val="00A8495B"/>
    <w:rsid w:val="00A87E88"/>
    <w:rsid w:val="00A977DC"/>
    <w:rsid w:val="00AA15E2"/>
    <w:rsid w:val="00AA1EAA"/>
    <w:rsid w:val="00AA4377"/>
    <w:rsid w:val="00AB37B0"/>
    <w:rsid w:val="00AB76C2"/>
    <w:rsid w:val="00AC181E"/>
    <w:rsid w:val="00AC2FDE"/>
    <w:rsid w:val="00AC49D6"/>
    <w:rsid w:val="00AC62AB"/>
    <w:rsid w:val="00AC64FA"/>
    <w:rsid w:val="00AD786C"/>
    <w:rsid w:val="00AE0681"/>
    <w:rsid w:val="00AE1A5A"/>
    <w:rsid w:val="00AE32BE"/>
    <w:rsid w:val="00AF7526"/>
    <w:rsid w:val="00AF7687"/>
    <w:rsid w:val="00B0355F"/>
    <w:rsid w:val="00B05850"/>
    <w:rsid w:val="00B05A28"/>
    <w:rsid w:val="00B12297"/>
    <w:rsid w:val="00B1410D"/>
    <w:rsid w:val="00B16788"/>
    <w:rsid w:val="00B202A7"/>
    <w:rsid w:val="00B27A8C"/>
    <w:rsid w:val="00B32370"/>
    <w:rsid w:val="00B353EE"/>
    <w:rsid w:val="00B35F53"/>
    <w:rsid w:val="00B36069"/>
    <w:rsid w:val="00B36ECE"/>
    <w:rsid w:val="00B3711F"/>
    <w:rsid w:val="00B41435"/>
    <w:rsid w:val="00B41A63"/>
    <w:rsid w:val="00B41D25"/>
    <w:rsid w:val="00B439D5"/>
    <w:rsid w:val="00B4786E"/>
    <w:rsid w:val="00B529A7"/>
    <w:rsid w:val="00B543BB"/>
    <w:rsid w:val="00B73644"/>
    <w:rsid w:val="00B73C81"/>
    <w:rsid w:val="00B7614C"/>
    <w:rsid w:val="00B7701C"/>
    <w:rsid w:val="00B812A7"/>
    <w:rsid w:val="00B83809"/>
    <w:rsid w:val="00B84516"/>
    <w:rsid w:val="00B90538"/>
    <w:rsid w:val="00B91B73"/>
    <w:rsid w:val="00B91D50"/>
    <w:rsid w:val="00B93878"/>
    <w:rsid w:val="00BA0343"/>
    <w:rsid w:val="00BA1C2B"/>
    <w:rsid w:val="00BA32EB"/>
    <w:rsid w:val="00BA4D43"/>
    <w:rsid w:val="00BB23E4"/>
    <w:rsid w:val="00BB5380"/>
    <w:rsid w:val="00BC081A"/>
    <w:rsid w:val="00BC24B6"/>
    <w:rsid w:val="00BC393E"/>
    <w:rsid w:val="00BC4829"/>
    <w:rsid w:val="00BC4BCA"/>
    <w:rsid w:val="00BD34F0"/>
    <w:rsid w:val="00BE4D90"/>
    <w:rsid w:val="00C06F06"/>
    <w:rsid w:val="00C120C3"/>
    <w:rsid w:val="00C124E3"/>
    <w:rsid w:val="00C12FFC"/>
    <w:rsid w:val="00C21879"/>
    <w:rsid w:val="00C23EFE"/>
    <w:rsid w:val="00C30584"/>
    <w:rsid w:val="00C41B65"/>
    <w:rsid w:val="00C43882"/>
    <w:rsid w:val="00C442F9"/>
    <w:rsid w:val="00C52451"/>
    <w:rsid w:val="00C545C7"/>
    <w:rsid w:val="00C579B7"/>
    <w:rsid w:val="00C57B05"/>
    <w:rsid w:val="00C6488A"/>
    <w:rsid w:val="00C66080"/>
    <w:rsid w:val="00C726D5"/>
    <w:rsid w:val="00C771F5"/>
    <w:rsid w:val="00C825E3"/>
    <w:rsid w:val="00C842DA"/>
    <w:rsid w:val="00C84EDA"/>
    <w:rsid w:val="00C87B2D"/>
    <w:rsid w:val="00C92CBF"/>
    <w:rsid w:val="00C9796F"/>
    <w:rsid w:val="00CA5D2D"/>
    <w:rsid w:val="00CB0D81"/>
    <w:rsid w:val="00CB50A3"/>
    <w:rsid w:val="00CB7036"/>
    <w:rsid w:val="00CB7934"/>
    <w:rsid w:val="00CC0CB0"/>
    <w:rsid w:val="00CC2C68"/>
    <w:rsid w:val="00CC3326"/>
    <w:rsid w:val="00CC33C8"/>
    <w:rsid w:val="00CD7147"/>
    <w:rsid w:val="00CE0C3A"/>
    <w:rsid w:val="00CE3EE1"/>
    <w:rsid w:val="00CE448F"/>
    <w:rsid w:val="00CF294D"/>
    <w:rsid w:val="00D00F08"/>
    <w:rsid w:val="00D01FF8"/>
    <w:rsid w:val="00D026A2"/>
    <w:rsid w:val="00D05F71"/>
    <w:rsid w:val="00D068FE"/>
    <w:rsid w:val="00D06DC3"/>
    <w:rsid w:val="00D10E1F"/>
    <w:rsid w:val="00D179E5"/>
    <w:rsid w:val="00D21098"/>
    <w:rsid w:val="00D2337B"/>
    <w:rsid w:val="00D27532"/>
    <w:rsid w:val="00D27E48"/>
    <w:rsid w:val="00D313AE"/>
    <w:rsid w:val="00D33B33"/>
    <w:rsid w:val="00D33F8C"/>
    <w:rsid w:val="00D432E6"/>
    <w:rsid w:val="00D53EDA"/>
    <w:rsid w:val="00D57932"/>
    <w:rsid w:val="00D6661F"/>
    <w:rsid w:val="00D70D43"/>
    <w:rsid w:val="00D74100"/>
    <w:rsid w:val="00D75AAF"/>
    <w:rsid w:val="00D75CBB"/>
    <w:rsid w:val="00D838DC"/>
    <w:rsid w:val="00D86281"/>
    <w:rsid w:val="00D86A47"/>
    <w:rsid w:val="00D87281"/>
    <w:rsid w:val="00D93710"/>
    <w:rsid w:val="00DA7880"/>
    <w:rsid w:val="00DB4B68"/>
    <w:rsid w:val="00DC4E69"/>
    <w:rsid w:val="00DD7BEB"/>
    <w:rsid w:val="00E01BC3"/>
    <w:rsid w:val="00E02C16"/>
    <w:rsid w:val="00E1144D"/>
    <w:rsid w:val="00E165BA"/>
    <w:rsid w:val="00E23621"/>
    <w:rsid w:val="00E36FE3"/>
    <w:rsid w:val="00E42E34"/>
    <w:rsid w:val="00E47476"/>
    <w:rsid w:val="00E51640"/>
    <w:rsid w:val="00E56BFE"/>
    <w:rsid w:val="00E57BBF"/>
    <w:rsid w:val="00E610B2"/>
    <w:rsid w:val="00E63CF7"/>
    <w:rsid w:val="00E64262"/>
    <w:rsid w:val="00E66D2A"/>
    <w:rsid w:val="00E70A5A"/>
    <w:rsid w:val="00E72CD0"/>
    <w:rsid w:val="00E82A9E"/>
    <w:rsid w:val="00E83366"/>
    <w:rsid w:val="00E85AE0"/>
    <w:rsid w:val="00E92231"/>
    <w:rsid w:val="00E95000"/>
    <w:rsid w:val="00E97594"/>
    <w:rsid w:val="00EA1106"/>
    <w:rsid w:val="00EA27EF"/>
    <w:rsid w:val="00EA2C59"/>
    <w:rsid w:val="00EA319A"/>
    <w:rsid w:val="00EA55F7"/>
    <w:rsid w:val="00EA6888"/>
    <w:rsid w:val="00EB0558"/>
    <w:rsid w:val="00EC1D7B"/>
    <w:rsid w:val="00EC2628"/>
    <w:rsid w:val="00EC4167"/>
    <w:rsid w:val="00EC43F6"/>
    <w:rsid w:val="00EC7478"/>
    <w:rsid w:val="00ED0CA5"/>
    <w:rsid w:val="00ED1534"/>
    <w:rsid w:val="00ED6305"/>
    <w:rsid w:val="00ED6C38"/>
    <w:rsid w:val="00EE0687"/>
    <w:rsid w:val="00EF4AC4"/>
    <w:rsid w:val="00F00D1F"/>
    <w:rsid w:val="00F104E4"/>
    <w:rsid w:val="00F10D01"/>
    <w:rsid w:val="00F115B3"/>
    <w:rsid w:val="00F159B0"/>
    <w:rsid w:val="00F16604"/>
    <w:rsid w:val="00F17B2B"/>
    <w:rsid w:val="00F24ABE"/>
    <w:rsid w:val="00F27F0B"/>
    <w:rsid w:val="00F31968"/>
    <w:rsid w:val="00F36DBC"/>
    <w:rsid w:val="00F44F5F"/>
    <w:rsid w:val="00F50B54"/>
    <w:rsid w:val="00F52D86"/>
    <w:rsid w:val="00F57618"/>
    <w:rsid w:val="00F678DD"/>
    <w:rsid w:val="00F730AC"/>
    <w:rsid w:val="00F74D55"/>
    <w:rsid w:val="00F7792B"/>
    <w:rsid w:val="00F80F5E"/>
    <w:rsid w:val="00F8628F"/>
    <w:rsid w:val="00F8778E"/>
    <w:rsid w:val="00F91C8D"/>
    <w:rsid w:val="00F9278C"/>
    <w:rsid w:val="00F94379"/>
    <w:rsid w:val="00F97E03"/>
    <w:rsid w:val="00FA5CC5"/>
    <w:rsid w:val="00FB1F22"/>
    <w:rsid w:val="00FC6E01"/>
    <w:rsid w:val="00FD03FD"/>
    <w:rsid w:val="00FD4A7A"/>
    <w:rsid w:val="00FD4F72"/>
    <w:rsid w:val="00FD6DE2"/>
    <w:rsid w:val="00FE3AB4"/>
    <w:rsid w:val="00FE6C4B"/>
    <w:rsid w:val="00FE700A"/>
    <w:rsid w:val="00FF29B9"/>
    <w:rsid w:val="00FF6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FAC01-3C66-4B94-BEC9-66AC2A62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semiHidden/>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1364EC"/>
    <w:rPr>
      <w:rFonts w:eastAsia="Times New Roman" w:cs="Times New Roman"/>
      <w:sz w:val="20"/>
      <w:szCs w:val="20"/>
      <w:lang w:eastAsia="lv-LV"/>
    </w:rPr>
  </w:style>
  <w:style w:type="character" w:styleId="FootnoteReference">
    <w:name w:val="footnote reference"/>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paragraph" w:styleId="NormalWeb">
    <w:name w:val="Normal (Web)"/>
    <w:basedOn w:val="Normal"/>
    <w:uiPriority w:val="99"/>
    <w:rsid w:val="00F10D01"/>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F10D01"/>
    <w:pPr>
      <w:spacing w:before="75" w:after="75"/>
      <w:ind w:firstLine="375"/>
      <w:jc w:val="both"/>
    </w:pPr>
    <w:rPr>
      <w:rFonts w:eastAsia="Times New Roman" w:cs="Times New Roman"/>
      <w:szCs w:val="24"/>
      <w:lang w:eastAsia="lv-LV"/>
    </w:rPr>
  </w:style>
  <w:style w:type="paragraph" w:customStyle="1" w:styleId="naiskr">
    <w:name w:val="naiskr"/>
    <w:basedOn w:val="Normal"/>
    <w:rsid w:val="00F10D01"/>
    <w:pPr>
      <w:spacing w:before="75" w:after="75"/>
    </w:pPr>
    <w:rPr>
      <w:rFonts w:eastAsia="Times New Roman" w:cs="Times New Roman"/>
      <w:szCs w:val="24"/>
      <w:lang w:eastAsia="lv-LV"/>
    </w:rPr>
  </w:style>
  <w:style w:type="paragraph" w:customStyle="1" w:styleId="naisc">
    <w:name w:val="naisc"/>
    <w:basedOn w:val="Normal"/>
    <w:rsid w:val="00F10D01"/>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52265">
      <w:bodyDiv w:val="1"/>
      <w:marLeft w:val="0"/>
      <w:marRight w:val="0"/>
      <w:marTop w:val="0"/>
      <w:marBottom w:val="0"/>
      <w:divBdr>
        <w:top w:val="none" w:sz="0" w:space="0" w:color="auto"/>
        <w:left w:val="none" w:sz="0" w:space="0" w:color="auto"/>
        <w:bottom w:val="none" w:sz="0" w:space="0" w:color="auto"/>
        <w:right w:val="none" w:sz="0" w:space="0" w:color="auto"/>
      </w:divBdr>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376539966">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 w:id="20558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A62F-8E24-4D2B-8667-3641F981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20989</Words>
  <Characters>11964</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21. marta noteikumos Nr. 167 “Kārtība, kādā veic datu apmaiņu attiecībā uz elektroniski nosūtāmiem rīkojumiem un paziņojumiem par to izpildi”” (VSS-747)</vt:lpstr>
      <vt:lpstr>likumprojekts "Grozījumi likumā "Par nodokļiem un nodevām""</vt:lpstr>
    </vt:vector>
  </TitlesOfParts>
  <Company>Finanšu ministrija</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 marta noteikumos Nr. 167 “Kārtība, kādā veic datu apmaiņu attiecībā uz elektroniski nosūtāmiem rīkojumiem un paziņojumiem par to izpildi”” (VSS-747)</dc:title>
  <dc:subject>Izziņa par atzinumos sniegtajiem iebildumiem</dc:subject>
  <dc:creator>Kristīne Voiniča</dc:creator>
  <dc:description>Kristine.Voinica@fm.gov.lv; tālr.67095567</dc:description>
  <cp:lastModifiedBy>Finanšu ministrija</cp:lastModifiedBy>
  <cp:revision>10</cp:revision>
  <cp:lastPrinted>2019-11-20T12:44:00Z</cp:lastPrinted>
  <dcterms:created xsi:type="dcterms:W3CDTF">2019-11-05T14:04:00Z</dcterms:created>
  <dcterms:modified xsi:type="dcterms:W3CDTF">2019-11-27T10:09:00Z</dcterms:modified>
</cp:coreProperties>
</file>